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3">
      <w:pPr>
        <w:numPr>
          <w:ilvl w:val="1"/>
          <w:numId w:val="23"/>
        </w:numPr>
        <w:pBdr>
          <w:top w:space="0" w:sz="0" w:val="nil"/>
          <w:left w:space="0" w:sz="0" w:val="nil"/>
          <w:bottom w:space="0" w:sz="0" w:val="nil"/>
          <w:right w:space="0" w:sz="0" w:val="nil"/>
          <w:between w:space="0" w:sz="0" w:val="nil"/>
        </w:pBdr>
        <w:tabs>
          <w:tab w:val="left" w:pos="851"/>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4">
      <w:pPr>
        <w:numPr>
          <w:ilvl w:val="1"/>
          <w:numId w:val="23"/>
        </w:numPr>
        <w:pBdr>
          <w:top w:space="0" w:sz="0" w:val="nil"/>
          <w:left w:space="0" w:sz="0" w:val="nil"/>
          <w:bottom w:space="0" w:sz="0" w:val="nil"/>
          <w:right w:space="0" w:sz="0" w:val="nil"/>
          <w:between w:space="0" w:sz="0" w:val="nil"/>
        </w:pBdr>
        <w:tabs>
          <w:tab w:val="left" w:pos="851"/>
          <w:tab w:val="left" w:pos="1134"/>
          <w:tab w:val="left" w:pos="567"/>
        </w:tabs>
        <w:spacing w:after="120" w:before="120" w:line="240" w:lineRule="auto"/>
        <w:ind w:left="567" w:hanging="567"/>
        <w:jc w:val="both"/>
        <w:rPr>
          <w:rFonts w:ascii="Arial" w:cs="Arial" w:eastAsia="Arial" w:hAnsi="Arial"/>
          <w:color w:val="000000"/>
          <w:sz w:val="24"/>
          <w:szCs w:val="24"/>
        </w:rPr>
      </w:pPr>
      <w:bookmarkStart w:colFirst="0" w:colLast="0" w:name="_heading=h.30j0zll" w:id="0"/>
      <w:bookmarkEnd w:id="0"/>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5">
      <w:pPr>
        <w:numPr>
          <w:ilvl w:val="1"/>
          <w:numId w:val="23"/>
        </w:numPr>
        <w:pBdr>
          <w:top w:space="0" w:sz="0" w:val="nil"/>
          <w:left w:space="0" w:sz="0" w:val="nil"/>
          <w:bottom w:space="0" w:sz="0" w:val="nil"/>
          <w:right w:space="0" w:sz="0" w:val="nil"/>
          <w:between w:space="0" w:sz="0" w:val="nil"/>
        </w:pBdr>
        <w:tabs>
          <w:tab w:val="left" w:pos="851"/>
          <w:tab w:val="left" w:pos="1134"/>
          <w:tab w:val="left" w:pos="567"/>
        </w:tabs>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6">
      <w:pPr>
        <w:numPr>
          <w:ilvl w:val="2"/>
          <w:numId w:val="23"/>
        </w:numPr>
        <w:pBdr>
          <w:top w:space="0" w:sz="0" w:val="nil"/>
          <w:left w:space="0" w:sz="0" w:val="nil"/>
          <w:bottom w:space="0" w:sz="0" w:val="nil"/>
          <w:right w:space="0" w:sz="0" w:val="nil"/>
          <w:between w:space="0" w:sz="0" w:val="nil"/>
        </w:pBdr>
        <w:tabs>
          <w:tab w:val="left" w:pos="851"/>
          <w:tab w:val="left" w:pos="1985"/>
          <w:tab w:val="left" w:pos="2127"/>
        </w:tabs>
        <w:spacing w:after="120" w:before="120" w:line="240" w:lineRule="auto"/>
        <w:ind w:left="1134"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7">
      <w:pPr>
        <w:numPr>
          <w:ilvl w:val="2"/>
          <w:numId w:val="23"/>
        </w:numPr>
        <w:pBdr>
          <w:top w:space="0" w:sz="0" w:val="nil"/>
          <w:left w:space="0" w:sz="0" w:val="nil"/>
          <w:bottom w:space="0" w:sz="0" w:val="nil"/>
          <w:right w:space="0" w:sz="0" w:val="nil"/>
          <w:between w:space="0" w:sz="0" w:val="nil"/>
        </w:pBdr>
        <w:tabs>
          <w:tab w:val="left" w:pos="851"/>
          <w:tab w:val="left" w:pos="1985"/>
          <w:tab w:val="left" w:pos="2127"/>
        </w:tabs>
        <w:spacing w:after="120" w:before="120" w:line="240" w:lineRule="auto"/>
        <w:ind w:left="1134"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8">
      <w:pPr>
        <w:numPr>
          <w:ilvl w:val="2"/>
          <w:numId w:val="23"/>
        </w:numPr>
        <w:pBdr>
          <w:top w:space="0" w:sz="0" w:val="nil"/>
          <w:left w:space="0" w:sz="0" w:val="nil"/>
          <w:bottom w:space="0" w:sz="0" w:val="nil"/>
          <w:right w:space="0" w:sz="0" w:val="nil"/>
          <w:between w:space="0" w:sz="0" w:val="nil"/>
        </w:pBdr>
        <w:tabs>
          <w:tab w:val="left" w:pos="851"/>
          <w:tab w:val="left" w:pos="1985"/>
          <w:tab w:val="left" w:pos="2127"/>
        </w:tabs>
        <w:spacing w:after="120" w:before="120" w:line="240" w:lineRule="auto"/>
        <w:ind w:left="1134"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9">
      <w:pPr>
        <w:numPr>
          <w:ilvl w:val="2"/>
          <w:numId w:val="23"/>
        </w:numPr>
        <w:pBdr>
          <w:top w:space="0" w:sz="0" w:val="nil"/>
          <w:left w:space="0" w:sz="0" w:val="nil"/>
          <w:bottom w:space="0" w:sz="0" w:val="nil"/>
          <w:right w:space="0" w:sz="0" w:val="nil"/>
          <w:between w:space="0" w:sz="0" w:val="nil"/>
        </w:pBdr>
        <w:tabs>
          <w:tab w:val="left" w:pos="851"/>
          <w:tab w:val="left" w:pos="1985"/>
          <w:tab w:val="left" w:pos="2127"/>
        </w:tabs>
        <w:spacing w:after="120" w:before="120" w:line="240" w:lineRule="auto"/>
        <w:ind w:left="1134"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A">
      <w:pPr>
        <w:numPr>
          <w:ilvl w:val="2"/>
          <w:numId w:val="23"/>
        </w:numPr>
        <w:pBdr>
          <w:top w:space="0" w:sz="0" w:val="nil"/>
          <w:left w:space="0" w:sz="0" w:val="nil"/>
          <w:bottom w:space="0" w:sz="0" w:val="nil"/>
          <w:right w:space="0" w:sz="0" w:val="nil"/>
          <w:between w:space="0" w:sz="0" w:val="nil"/>
        </w:pBdr>
        <w:tabs>
          <w:tab w:val="left" w:pos="851"/>
          <w:tab w:val="left" w:pos="1985"/>
          <w:tab w:val="left" w:pos="2127"/>
        </w:tabs>
        <w:spacing w:after="120" w:before="120" w:line="240" w:lineRule="auto"/>
        <w:ind w:left="1134"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B">
      <w:pPr>
        <w:numPr>
          <w:ilvl w:val="2"/>
          <w:numId w:val="23"/>
        </w:numPr>
        <w:pBdr>
          <w:top w:space="0" w:sz="0" w:val="nil"/>
          <w:left w:space="0" w:sz="0" w:val="nil"/>
          <w:bottom w:space="0" w:sz="0" w:val="nil"/>
          <w:right w:space="0" w:sz="0" w:val="nil"/>
          <w:between w:space="0" w:sz="0" w:val="nil"/>
        </w:pBdr>
        <w:tabs>
          <w:tab w:val="left" w:pos="851"/>
          <w:tab w:val="left" w:pos="1985"/>
          <w:tab w:val="left" w:pos="2127"/>
        </w:tabs>
        <w:spacing w:after="120" w:before="120" w:line="240" w:lineRule="auto"/>
        <w:ind w:left="1134"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C">
      <w:pPr>
        <w:numPr>
          <w:ilvl w:val="2"/>
          <w:numId w:val="23"/>
        </w:numPr>
        <w:pBdr>
          <w:top w:space="0" w:sz="0" w:val="nil"/>
          <w:left w:space="0" w:sz="0" w:val="nil"/>
          <w:bottom w:space="0" w:sz="0" w:val="nil"/>
          <w:right w:space="0" w:sz="0" w:val="nil"/>
          <w:between w:space="0" w:sz="0" w:val="nil"/>
        </w:pBdr>
        <w:tabs>
          <w:tab w:val="left" w:pos="851"/>
          <w:tab w:val="left" w:pos="1985"/>
          <w:tab w:val="left" w:pos="2127"/>
        </w:tabs>
        <w:spacing w:after="120" w:before="120" w:line="240" w:lineRule="auto"/>
        <w:ind w:left="1134"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D">
      <w:pPr>
        <w:numPr>
          <w:ilvl w:val="2"/>
          <w:numId w:val="23"/>
        </w:numPr>
        <w:pBdr>
          <w:top w:space="0" w:sz="0" w:val="nil"/>
          <w:left w:space="0" w:sz="0" w:val="nil"/>
          <w:bottom w:space="0" w:sz="0" w:val="nil"/>
          <w:right w:space="0" w:sz="0" w:val="nil"/>
          <w:between w:space="0" w:sz="0" w:val="nil"/>
        </w:pBdr>
        <w:tabs>
          <w:tab w:val="left" w:pos="851"/>
          <w:tab w:val="left" w:pos="1985"/>
          <w:tab w:val="left" w:pos="2127"/>
        </w:tabs>
        <w:spacing w:after="120" w:before="120" w:line="240" w:lineRule="auto"/>
        <w:ind w:left="1134"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E">
      <w:pPr>
        <w:numPr>
          <w:ilvl w:val="2"/>
          <w:numId w:val="23"/>
        </w:numPr>
        <w:pBdr>
          <w:top w:space="0" w:sz="0" w:val="nil"/>
          <w:left w:space="0" w:sz="0" w:val="nil"/>
          <w:bottom w:space="0" w:sz="0" w:val="nil"/>
          <w:right w:space="0" w:sz="0" w:val="nil"/>
          <w:between w:space="0" w:sz="0" w:val="nil"/>
        </w:pBdr>
        <w:tabs>
          <w:tab w:val="left" w:pos="851"/>
          <w:tab w:val="left" w:pos="1985"/>
          <w:tab w:val="left" w:pos="2127"/>
        </w:tabs>
        <w:spacing w:after="120" w:before="120" w:line="240" w:lineRule="auto"/>
        <w:ind w:left="1134"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F">
      <w:pPr>
        <w:numPr>
          <w:ilvl w:val="2"/>
          <w:numId w:val="23"/>
        </w:numPr>
        <w:pBdr>
          <w:top w:space="0" w:sz="0" w:val="nil"/>
          <w:left w:space="0" w:sz="0" w:val="nil"/>
          <w:bottom w:space="0" w:sz="0" w:val="nil"/>
          <w:right w:space="0" w:sz="0" w:val="nil"/>
          <w:between w:space="0" w:sz="0" w:val="nil"/>
        </w:pBdr>
        <w:tabs>
          <w:tab w:val="left" w:pos="851"/>
          <w:tab w:val="left" w:pos="1985"/>
          <w:tab w:val="left" w:pos="2127"/>
        </w:tabs>
        <w:spacing w:after="120" w:before="120" w:line="240" w:lineRule="auto"/>
        <w:ind w:left="1418"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10">
      <w:pPr>
        <w:numPr>
          <w:ilvl w:val="2"/>
          <w:numId w:val="23"/>
        </w:numPr>
        <w:pBdr>
          <w:top w:space="0" w:sz="0" w:val="nil"/>
          <w:left w:space="0" w:sz="0" w:val="nil"/>
          <w:bottom w:space="0" w:sz="0" w:val="nil"/>
          <w:right w:space="0" w:sz="0" w:val="nil"/>
          <w:between w:space="0" w:sz="0" w:val="nil"/>
        </w:pBdr>
        <w:tabs>
          <w:tab w:val="left" w:pos="851"/>
          <w:tab w:val="left" w:pos="1985"/>
          <w:tab w:val="left" w:pos="2127"/>
        </w:tabs>
        <w:spacing w:after="120" w:before="120" w:line="240" w:lineRule="auto"/>
        <w:ind w:left="1418" w:hanging="851"/>
        <w:jc w:val="both"/>
        <w:rPr>
          <w:rFonts w:ascii="Arial" w:cs="Arial" w:eastAsia="Arial" w:hAnsi="Arial"/>
          <w:color w:val="000000"/>
          <w:sz w:val="24"/>
          <w:szCs w:val="24"/>
        </w:rPr>
      </w:pPr>
      <w:bookmarkStart w:colFirst="0" w:colLast="0" w:name="_heading=h.1fob9te" w:id="1"/>
      <w:bookmarkEnd w:id="1"/>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1">
      <w:pPr>
        <w:numPr>
          <w:ilvl w:val="2"/>
          <w:numId w:val="23"/>
        </w:numPr>
        <w:pBdr>
          <w:top w:space="0" w:sz="0" w:val="nil"/>
          <w:left w:space="0" w:sz="0" w:val="nil"/>
          <w:bottom w:space="0" w:sz="0" w:val="nil"/>
          <w:right w:space="0" w:sz="0" w:val="nil"/>
          <w:between w:space="0" w:sz="0" w:val="nil"/>
        </w:pBdr>
        <w:tabs>
          <w:tab w:val="left" w:pos="851"/>
          <w:tab w:val="left" w:pos="1985"/>
          <w:tab w:val="left" w:pos="2127"/>
        </w:tabs>
        <w:spacing w:after="120" w:before="120" w:line="240" w:lineRule="auto"/>
        <w:ind w:left="1418"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2">
      <w:pPr>
        <w:numPr>
          <w:ilvl w:val="2"/>
          <w:numId w:val="23"/>
        </w:numPr>
        <w:tabs>
          <w:tab w:val="left" w:pos="1985"/>
          <w:tab w:val="left" w:pos="2127"/>
        </w:tabs>
        <w:spacing w:after="120" w:before="120" w:line="240" w:lineRule="auto"/>
        <w:ind w:left="1418"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standard, policy or document is referred to by reference of a hyperlink, if that hyperlink is changed or no longer provides access to the relevant standard, policy or document, the Supplier shall notify the Relevant Authority and the Parties shall update the reference to a replacement hyperlink;</w:t>
      </w:r>
    </w:p>
    <w:p w:rsidR="00000000" w:rsidDel="00000000" w:rsidP="00000000" w:rsidRDefault="00000000" w:rsidRPr="00000000" w14:paraId="00000013">
      <w:pPr>
        <w:numPr>
          <w:ilvl w:val="2"/>
          <w:numId w:val="2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8"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4">
      <w:pPr>
        <w:numPr>
          <w:ilvl w:val="3"/>
          <w:numId w:val="23"/>
        </w:numPr>
        <w:pBdr>
          <w:top w:space="0" w:sz="0" w:val="nil"/>
          <w:left w:space="0" w:sz="0" w:val="nil"/>
          <w:bottom w:space="0" w:sz="0" w:val="nil"/>
          <w:right w:space="0" w:sz="0" w:val="nil"/>
          <w:between w:space="0" w:sz="0" w:val="nil"/>
        </w:pBdr>
        <w:tabs>
          <w:tab w:val="left" w:pos="1985"/>
        </w:tabs>
        <w:spacing w:after="120" w:before="120" w:line="240" w:lineRule="auto"/>
        <w:ind w:left="1985" w:hanging="566.999999999999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5">
      <w:pPr>
        <w:numPr>
          <w:ilvl w:val="3"/>
          <w:numId w:val="23"/>
        </w:numPr>
        <w:pBdr>
          <w:top w:space="0" w:sz="0" w:val="nil"/>
          <w:left w:space="0" w:sz="0" w:val="nil"/>
          <w:bottom w:space="0" w:sz="0" w:val="nil"/>
          <w:right w:space="0" w:sz="0" w:val="nil"/>
          <w:between w:space="0" w:sz="0" w:val="nil"/>
        </w:pBdr>
        <w:tabs>
          <w:tab w:val="left" w:pos="1985"/>
        </w:tabs>
        <w:spacing w:after="120" w:before="120" w:line="240" w:lineRule="auto"/>
        <w:ind w:left="1985" w:hanging="566.999999999999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6">
      <w:pPr>
        <w:numPr>
          <w:ilvl w:val="2"/>
          <w:numId w:val="2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8"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7">
      <w:pPr>
        <w:numPr>
          <w:ilvl w:val="2"/>
          <w:numId w:val="23"/>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418" w:hanging="85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8">
      <w:pPr>
        <w:numPr>
          <w:ilvl w:val="1"/>
          <w:numId w:val="23"/>
        </w:numPr>
        <w:pBdr>
          <w:top w:space="0" w:sz="0" w:val="nil"/>
          <w:left w:space="0" w:sz="0" w:val="nil"/>
          <w:bottom w:space="0" w:sz="0" w:val="nil"/>
          <w:right w:space="0" w:sz="0" w:val="nil"/>
          <w:between w:space="0" w:sz="0" w:val="nil"/>
        </w:pBdr>
        <w:tabs>
          <w:tab w:val="left" w:pos="1134"/>
          <w:tab w:val="left" w:pos="567"/>
        </w:tabs>
        <w:spacing w:after="120" w:before="120" w:line="240" w:lineRule="auto"/>
        <w:ind w:left="709"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9">
      <w:pPr>
        <w:keepNext w:val="1"/>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color w:val="000000"/>
          <w:sz w:val="24"/>
          <w:szCs w:val="24"/>
        </w:rPr>
      </w:pPr>
      <w:r w:rsidDel="00000000" w:rsidR="00000000" w:rsidRPr="00000000">
        <w:rPr>
          <w:rtl w:val="0"/>
        </w:rPr>
      </w:r>
    </w:p>
    <w:tbl>
      <w:tblPr>
        <w:tblStyle w:val="Table1"/>
        <w:tblW w:w="10556.0" w:type="dxa"/>
        <w:jc w:val="left"/>
        <w:tblInd w:w="-431.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11"/>
        <w:gridCol w:w="8145"/>
        <w:tblGridChange w:id="0">
          <w:tblGrid>
            <w:gridCol w:w="2411"/>
            <w:gridCol w:w="8145"/>
          </w:tblGrid>
        </w:tblGridChange>
      </w:tblGrid>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bookmarkStart w:colFirst="0" w:colLast="0" w:name="_heading=h.3znysh7" w:id="2"/>
            <w:bookmarkEnd w:id="2"/>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Training Charge”</w:t>
            </w:r>
          </w:p>
        </w:tc>
        <w:tc>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 for any additional training agreed to be provided by the Supplier to the Buyer in excess of the Value Added Services set out in Framework Schedule 1 (Specification), which shall not exceed the Supplier’s Hourly Rates;</w:t>
            </w:r>
          </w:p>
        </w:tc>
      </w:tr>
      <w:tr>
        <w:trPr>
          <w:cantSplit w:val="0"/>
          <w:tblHeader w:val="0"/>
        </w:trPr>
        <w:tc>
          <w:tcPr/>
          <w:p w:rsidR="00000000" w:rsidDel="00000000" w:rsidP="00000000" w:rsidRDefault="00000000" w:rsidRPr="00000000" w14:paraId="0000002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http://CCS.cabinetoffice.gov.uk/i-am-supplier/management-information/admin-fees;</w:t>
            </w:r>
          </w:p>
        </w:tc>
      </w:tr>
      <w:tr>
        <w:trPr>
          <w:cantSplit w:val="0"/>
          <w:tblHeader w:val="0"/>
        </w:trPr>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“Alternative Fee Arrangement”</w:t>
            </w:r>
          </w:p>
        </w:tc>
        <w:tc>
          <w:tcPr/>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Pricing Mechanism that is not based on (a) Hourly Rate / Day Rate/ Monthly Rate, (b) Time and Materials, (c) Fixed Price or (d) Capped Price and a Buyer may not seek to discount Supplier Framework Prices as part of such an alternative fee arrangement;</w:t>
            </w:r>
          </w:p>
        </w:tc>
      </w:tr>
      <w:tr>
        <w:trPr>
          <w:cantSplit w:val="0"/>
          <w:tblHeader w:val="0"/>
        </w:trPr>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E">
            <w:pPr>
              <w:numPr>
                <w:ilvl w:val="0"/>
                <w:numId w:val="21"/>
              </w:numPr>
              <w:pBdr>
                <w:top w:space="0" w:sz="0" w:val="nil"/>
                <w:left w:space="0" w:sz="0" w:val="nil"/>
                <w:bottom w:space="0" w:sz="0" w:val="nil"/>
                <w:right w:space="0" w:sz="0" w:val="nil"/>
                <w:between w:space="0" w:sz="0" w:val="nil"/>
              </w:pBdr>
              <w:tabs>
                <w:tab w:val="left" w:pos="565"/>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F">
            <w:pPr>
              <w:numPr>
                <w:ilvl w:val="0"/>
                <w:numId w:val="21"/>
              </w:numPr>
              <w:pBdr>
                <w:top w:space="0" w:sz="0" w:val="nil"/>
                <w:left w:space="0" w:sz="0" w:val="nil"/>
                <w:bottom w:space="0" w:sz="0" w:val="nil"/>
                <w:right w:space="0" w:sz="0" w:val="nil"/>
                <w:between w:space="0" w:sz="0" w:val="nil"/>
              </w:pBdr>
              <w:tabs>
                <w:tab w:val="left" w:pos="-179"/>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third-party suppliers) in connection with the provision of the Services;</w:t>
            </w:r>
          </w:p>
          <w:p w:rsidR="00000000" w:rsidDel="00000000" w:rsidP="00000000" w:rsidRDefault="00000000" w:rsidRPr="00000000" w14:paraId="00000030">
            <w:pPr>
              <w:numPr>
                <w:ilvl w:val="0"/>
                <w:numId w:val="21"/>
              </w:numPr>
              <w:pBdr>
                <w:top w:space="0" w:sz="0" w:val="nil"/>
                <w:left w:space="0" w:sz="0" w:val="nil"/>
                <w:bottom w:space="0" w:sz="0" w:val="nil"/>
                <w:right w:space="0" w:sz="0" w:val="nil"/>
                <w:between w:space="0" w:sz="0" w:val="nil"/>
              </w:pBdr>
              <w:tabs>
                <w:tab w:val="left" w:pos="-179"/>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31">
            <w:pPr>
              <w:numPr>
                <w:ilvl w:val="0"/>
                <w:numId w:val="21"/>
              </w:numPr>
              <w:pBdr>
                <w:top w:space="0" w:sz="0" w:val="nil"/>
                <w:left w:space="0" w:sz="0" w:val="nil"/>
                <w:bottom w:space="0" w:sz="0" w:val="nil"/>
                <w:right w:space="0" w:sz="0" w:val="nil"/>
                <w:between w:space="0" w:sz="0" w:val="nil"/>
              </w:pBdr>
              <w:tabs>
                <w:tab w:val="left" w:pos="-179"/>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32">
            <w:pPr>
              <w:numPr>
                <w:ilvl w:val="0"/>
                <w:numId w:val="21"/>
              </w:numPr>
              <w:pBdr>
                <w:top w:space="0" w:sz="0" w:val="nil"/>
                <w:left w:space="0" w:sz="0" w:val="nil"/>
                <w:bottom w:space="0" w:sz="0" w:val="nil"/>
                <w:right w:space="0" w:sz="0" w:val="nil"/>
                <w:between w:space="0" w:sz="0" w:val="nil"/>
              </w:pBdr>
              <w:tabs>
                <w:tab w:val="left" w:pos="-179"/>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3">
            <w:pPr>
              <w:numPr>
                <w:ilvl w:val="0"/>
                <w:numId w:val="21"/>
              </w:numPr>
              <w:pBdr>
                <w:top w:space="0" w:sz="0" w:val="nil"/>
                <w:left w:space="0" w:sz="0" w:val="nil"/>
                <w:bottom w:space="0" w:sz="0" w:val="nil"/>
                <w:right w:space="0" w:sz="0" w:val="nil"/>
                <w:between w:space="0" w:sz="0" w:val="nil"/>
              </w:pBdr>
              <w:tabs>
                <w:tab w:val="left" w:pos="-179"/>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4">
            <w:pPr>
              <w:numPr>
                <w:ilvl w:val="0"/>
                <w:numId w:val="21"/>
              </w:numPr>
              <w:pBdr>
                <w:top w:space="0" w:sz="0" w:val="nil"/>
                <w:left w:space="0" w:sz="0" w:val="nil"/>
                <w:bottom w:space="0" w:sz="0" w:val="nil"/>
                <w:right w:space="0" w:sz="0" w:val="nil"/>
                <w:between w:space="0" w:sz="0" w:val="nil"/>
              </w:pBdr>
              <w:tabs>
                <w:tab w:val="left" w:pos="-179"/>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5">
            <w:pPr>
              <w:numPr>
                <w:ilvl w:val="0"/>
                <w:numId w:val="21"/>
              </w:numPr>
              <w:pBdr>
                <w:top w:space="0" w:sz="0" w:val="nil"/>
                <w:left w:space="0" w:sz="0" w:val="nil"/>
                <w:bottom w:space="0" w:sz="0" w:val="nil"/>
                <w:right w:space="0" w:sz="0" w:val="nil"/>
                <w:between w:space="0" w:sz="0" w:val="nil"/>
              </w:pBdr>
              <w:tabs>
                <w:tab w:val="left" w:pos="-179"/>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6">
            <w:pPr>
              <w:numPr>
                <w:ilvl w:val="0"/>
                <w:numId w:val="21"/>
              </w:numPr>
              <w:pBdr>
                <w:top w:space="0" w:sz="0" w:val="nil"/>
                <w:left w:space="0" w:sz="0" w:val="nil"/>
                <w:bottom w:space="0" w:sz="0" w:val="nil"/>
                <w:right w:space="0" w:sz="0" w:val="nil"/>
                <w:between w:space="0" w:sz="0" w:val="nil"/>
              </w:pBdr>
              <w:tabs>
                <w:tab w:val="left" w:pos="-179"/>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7">
            <w:pPr>
              <w:numPr>
                <w:ilvl w:val="0"/>
                <w:numId w:val="21"/>
              </w:numPr>
              <w:pBdr>
                <w:top w:space="0" w:sz="0" w:val="nil"/>
                <w:left w:space="0" w:sz="0" w:val="nil"/>
                <w:bottom w:space="0" w:sz="0" w:val="nil"/>
                <w:right w:space="0" w:sz="0" w:val="nil"/>
                <w:between w:space="0" w:sz="0" w:val="nil"/>
              </w:pBdr>
              <w:tabs>
                <w:tab w:val="left" w:pos="-179"/>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or</w:t>
            </w:r>
          </w:p>
          <w:p w:rsidR="00000000" w:rsidDel="00000000" w:rsidP="00000000" w:rsidRDefault="00000000" w:rsidRPr="00000000" w14:paraId="00000038">
            <w:pPr>
              <w:numPr>
                <w:ilvl w:val="0"/>
                <w:numId w:val="21"/>
              </w:numPr>
              <w:pBdr>
                <w:top w:space="0" w:sz="0" w:val="nil"/>
                <w:left w:space="0" w:sz="0" w:val="nil"/>
                <w:bottom w:space="0" w:sz="0" w:val="nil"/>
                <w:right w:space="0" w:sz="0" w:val="nil"/>
                <w:between w:space="0" w:sz="0" w:val="nil"/>
              </w:pBdr>
              <w:tabs>
                <w:tab w:val="left" w:pos="-179"/>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w:t>
            </w:r>
          </w:p>
        </w:tc>
      </w:tr>
      <w:tr>
        <w:trPr>
          <w:cantSplit w:val="0"/>
          <w:tblHeader w:val="0"/>
        </w:trPr>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A">
            <w:pPr>
              <w:numPr>
                <w:ilvl w:val="0"/>
                <w:numId w:val="25"/>
              </w:numPr>
              <w:pBdr>
                <w:top w:space="0" w:sz="0" w:val="nil"/>
                <w:left w:space="0" w:sz="0" w:val="nil"/>
                <w:bottom w:space="0" w:sz="0" w:val="nil"/>
                <w:right w:space="0" w:sz="0" w:val="nil"/>
                <w:between w:space="0" w:sz="0" w:val="nil"/>
              </w:pBdr>
              <w:tabs>
                <w:tab w:val="left" w:pos="-179"/>
                <w:tab w:val="left" w:pos="423"/>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B">
            <w:pPr>
              <w:numPr>
                <w:ilvl w:val="0"/>
                <w:numId w:val="25"/>
              </w:numPr>
              <w:pBdr>
                <w:top w:space="0" w:sz="0" w:val="nil"/>
                <w:left w:space="0" w:sz="0" w:val="nil"/>
                <w:bottom w:space="0" w:sz="0" w:val="nil"/>
                <w:right w:space="0" w:sz="0" w:val="nil"/>
                <w:between w:space="0" w:sz="0" w:val="nil"/>
              </w:pBdr>
              <w:tabs>
                <w:tab w:val="left" w:pos="-179"/>
                <w:tab w:val="left" w:pos="423"/>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C">
            <w:pPr>
              <w:numPr>
                <w:ilvl w:val="0"/>
                <w:numId w:val="25"/>
              </w:numPr>
              <w:pBdr>
                <w:top w:space="0" w:sz="0" w:val="nil"/>
                <w:left w:space="0" w:sz="0" w:val="nil"/>
                <w:bottom w:space="0" w:sz="0" w:val="nil"/>
                <w:right w:space="0" w:sz="0" w:val="nil"/>
                <w:between w:space="0" w:sz="0" w:val="nil"/>
              </w:pBdr>
              <w:tabs>
                <w:tab w:val="left" w:pos="-179"/>
                <w:tab w:val="left" w:pos="423"/>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D">
            <w:pPr>
              <w:numPr>
                <w:ilvl w:val="0"/>
                <w:numId w:val="25"/>
              </w:numPr>
              <w:pBdr>
                <w:top w:space="0" w:sz="0" w:val="nil"/>
                <w:left w:space="0" w:sz="0" w:val="nil"/>
                <w:bottom w:space="0" w:sz="0" w:val="nil"/>
                <w:right w:space="0" w:sz="0" w:val="nil"/>
                <w:between w:space="0" w:sz="0" w:val="nil"/>
              </w:pBdr>
              <w:tabs>
                <w:tab w:val="left" w:pos="-179"/>
                <w:tab w:val="left" w:pos="423"/>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E">
            <w:pPr>
              <w:numPr>
                <w:ilvl w:val="0"/>
                <w:numId w:val="25"/>
              </w:numPr>
              <w:pBdr>
                <w:top w:space="0" w:sz="0" w:val="nil"/>
                <w:left w:space="0" w:sz="0" w:val="nil"/>
                <w:bottom w:space="0" w:sz="0" w:val="nil"/>
                <w:right w:space="0" w:sz="0" w:val="nil"/>
                <w:between w:space="0" w:sz="0" w:val="nil"/>
              </w:pBdr>
              <w:tabs>
                <w:tab w:val="left" w:pos="-179"/>
                <w:tab w:val="left" w:pos="423"/>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F">
            <w:pPr>
              <w:numPr>
                <w:ilvl w:val="0"/>
                <w:numId w:val="25"/>
              </w:numPr>
              <w:pBdr>
                <w:top w:space="0" w:sz="0" w:val="nil"/>
                <w:left w:space="0" w:sz="0" w:val="nil"/>
                <w:bottom w:space="0" w:sz="0" w:val="nil"/>
                <w:right w:space="0" w:sz="0" w:val="nil"/>
                <w:between w:space="0" w:sz="0" w:val="nil"/>
              </w:pBdr>
              <w:tabs>
                <w:tab w:val="left" w:pos="-179"/>
                <w:tab w:val="left" w:pos="-9"/>
                <w:tab w:val="left" w:pos="424"/>
              </w:tabs>
              <w:spacing w:after="120" w:lineRule="auto"/>
              <w:ind w:left="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4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41">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“Authorised User”</w:t>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179"/>
                <w:tab w:val="left"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and Buyers’ individual or group of individuals (including employees, consultants, contractors and agents) authorised by CCS and/or the Buyer to:</w:t>
            </w:r>
          </w:p>
          <w:p w:rsidR="00000000" w:rsidDel="00000000" w:rsidP="00000000" w:rsidRDefault="00000000" w:rsidRPr="00000000" w14:paraId="00000046">
            <w:pPr>
              <w:spacing w:after="120" w:before="120" w:lineRule="auto"/>
              <w:ind w:left="395" w:hanging="228"/>
              <w:rPr>
                <w:rFonts w:ascii="Arial" w:cs="Arial" w:eastAsia="Arial" w:hAnsi="Arial"/>
                <w:sz w:val="24"/>
                <w:szCs w:val="24"/>
              </w:rPr>
            </w:pPr>
            <w:r w:rsidDel="00000000" w:rsidR="00000000" w:rsidRPr="00000000">
              <w:rPr>
                <w:rFonts w:ascii="Arial" w:cs="Arial" w:eastAsia="Arial" w:hAnsi="Arial"/>
                <w:sz w:val="24"/>
                <w:szCs w:val="24"/>
                <w:rtl w:val="0"/>
              </w:rPr>
              <w:t xml:space="preserve">a) access and use the Platform for the purposes set out in Framework Schedule 7 (Call-Off Award Procedure); and</w:t>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179"/>
                <w:tab w:val="left" w:pos="267"/>
              </w:tabs>
              <w:spacing w:after="120" w:lineRule="auto"/>
              <w:ind w:left="409" w:hanging="284"/>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 the rights granted under (a) shall apply unless and until that authorisation is revoked by CCS or the Buyer;</w:t>
            </w:r>
            <w:r w:rsidDel="00000000" w:rsidR="00000000" w:rsidRPr="00000000">
              <w:rPr>
                <w:rtl w:val="0"/>
              </w:rPr>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5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Registration Process”</w:t>
            </w:r>
          </w:p>
        </w:tc>
        <w:tc>
          <w:tcPr/>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to be completed in accordance with Framework Schedule 7 (Call-Off Award Procedure) or as otherwise notified to the potential Buyer in writing by CCS, or elected to be undertaken by a Buyer, the completion of which shall result in a potential Buyer being registered as a “Buyer” within the Platform and/or Buyer system which will entitle the Buyer to undertake a Call-Off Procedure in accordance with Framework Schedule 7, as supported by the Platform;</w:t>
            </w:r>
          </w:p>
        </w:tc>
      </w:tr>
      <w:tr>
        <w:trPr>
          <w:cantSplit w:val="0"/>
          <w:tblHeader w:val="0"/>
        </w:trPr>
        <w:tc>
          <w:tcPr/>
          <w:p w:rsidR="00000000" w:rsidDel="00000000" w:rsidP="00000000" w:rsidRDefault="00000000" w:rsidRPr="00000000" w14:paraId="0000005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“Cabinet Office Contract Tiering Tool”</w:t>
            </w:r>
            <w:r w:rsidDel="00000000" w:rsidR="00000000" w:rsidRPr="00000000">
              <w:rPr>
                <w:rtl w:val="0"/>
              </w:rPr>
            </w:r>
          </w:p>
        </w:tc>
        <w:tc>
          <w:tcPr/>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contract tiering tool which helps classify a contract (gold / silver / bronze) by assessing three criteria: (a) value, (b) complexity and (c) level of risk. This tool can also help determine the criticality and level of contract management required, which can be found at [INSERT LINK];</w:t>
            </w:r>
            <w:r w:rsidDel="00000000" w:rsidR="00000000" w:rsidRPr="00000000">
              <w:rPr>
                <w:rtl w:val="0"/>
              </w:rPr>
            </w:r>
          </w:p>
        </w:tc>
      </w:tr>
      <w:tr>
        <w:trPr>
          <w:cantSplit w:val="0"/>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w:t>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left" w:pos="-179"/>
                <w:tab w:val="left" w:pos="-9"/>
              </w:tabs>
              <w:spacing w:after="120" w:lineRule="auto"/>
              <w:ind w:left="423"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scheduled date of the end of a Call-Off Contract as stated in the Order Form; or</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pos="-179"/>
                <w:tab w:val="left" w:pos="-9"/>
              </w:tabs>
              <w:spacing w:after="120" w:lineRule="auto"/>
              <w:ind w:left="423"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2 years after the End Date of the Framework Contract; </w:t>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pos="-179"/>
                <w:tab w:val="left" w:pos="-9"/>
              </w:tabs>
              <w:spacing w:after="120" w:lineRule="auto"/>
              <w:ind w:left="423"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whichever is earlier;</w:t>
            </w:r>
          </w:p>
        </w:tc>
      </w:tr>
      <w:tr>
        <w:trPr>
          <w:cantSplit w:val="0"/>
          <w:tblHeader w:val="0"/>
        </w:trPr>
        <w:tc>
          <w:tcPr/>
          <w:p w:rsidR="00000000" w:rsidDel="00000000" w:rsidP="00000000" w:rsidRDefault="00000000" w:rsidRPr="00000000" w14:paraId="0000006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6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6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6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6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6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6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w:t>
            </w:r>
          </w:p>
        </w:tc>
      </w:tr>
      <w:tr>
        <w:trPr>
          <w:cantSplit w:val="0"/>
          <w:tblHeader w:val="0"/>
        </w:trPr>
        <w:tc>
          <w:tcPr/>
          <w:p w:rsidR="00000000" w:rsidDel="00000000" w:rsidP="00000000" w:rsidRDefault="00000000" w:rsidRPr="00000000" w14:paraId="0000006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“Capped Price”</w:t>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Pricing Mechanism where the Supplier agrees that the Charges to be paid by the Buyer will not exceed a maximum amount (i.e. a ‘cap’) for the supply of the Deliverables or, one or more specific elements of the Deliverables, which can be calculated either:</w:t>
            </w:r>
          </w:p>
          <w:p w:rsidR="00000000" w:rsidDel="00000000" w:rsidP="00000000" w:rsidRDefault="00000000" w:rsidRPr="00000000" w14:paraId="00000071">
            <w:pPr>
              <w:numPr>
                <w:ilvl w:val="5"/>
                <w:numId w:val="4"/>
              </w:numPr>
              <w:pBdr>
                <w:top w:space="0" w:sz="0" w:val="nil"/>
                <w:left w:space="0" w:sz="0" w:val="nil"/>
                <w:bottom w:space="0" w:sz="0" w:val="nil"/>
                <w:right w:space="0" w:sz="0" w:val="nil"/>
                <w:between w:space="0" w:sz="0" w:val="nil"/>
              </w:pBdr>
              <w:tabs>
                <w:tab w:val="left" w:pos="-179"/>
                <w:tab w:val="left" w:pos="-9"/>
                <w:tab w:val="left" w:pos="1982"/>
              </w:tabs>
              <w:spacing w:after="120" w:line="276" w:lineRule="auto"/>
              <w:ind w:left="42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reference to a single capped price, with Hourly Rates charged up to the maximum of the cap; or </w:t>
            </w:r>
          </w:p>
          <w:p w:rsidR="00000000" w:rsidDel="00000000" w:rsidP="00000000" w:rsidRDefault="00000000" w:rsidRPr="00000000" w14:paraId="00000072">
            <w:pPr>
              <w:numPr>
                <w:ilvl w:val="5"/>
                <w:numId w:val="4"/>
              </w:numPr>
              <w:pBdr>
                <w:top w:space="0" w:sz="0" w:val="nil"/>
                <w:left w:space="0" w:sz="0" w:val="nil"/>
                <w:bottom w:space="0" w:sz="0" w:val="nil"/>
                <w:right w:space="0" w:sz="0" w:val="nil"/>
                <w:between w:space="0" w:sz="0" w:val="nil"/>
              </w:pBdr>
              <w:tabs>
                <w:tab w:val="left" w:pos="-179"/>
                <w:tab w:val="left" w:pos="-9"/>
                <w:tab w:val="left" w:pos="1982"/>
              </w:tabs>
              <w:spacing w:after="120" w:line="276" w:lineRule="auto"/>
              <w:ind w:left="42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multiple capped prices, each referenced to a different element or milestone of the Deliverables, with Hourly Rates charged up to the cap;</w:t>
            </w:r>
          </w:p>
        </w:tc>
      </w:tr>
      <w:tr>
        <w:trPr>
          <w:cantSplit w:val="0"/>
          <w:tblHeader w:val="0"/>
        </w:trPr>
        <w:tc>
          <w:tcPr/>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7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77">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7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79">
            <w:pPr>
              <w:numPr>
                <w:ilvl w:val="1"/>
                <w:numId w:val="1"/>
              </w:numPr>
              <w:pBdr>
                <w:top w:space="0" w:sz="0" w:val="nil"/>
                <w:left w:space="0" w:sz="0" w:val="nil"/>
                <w:bottom w:space="0" w:sz="0" w:val="nil"/>
                <w:right w:space="0" w:sz="0" w:val="nil"/>
                <w:between w:space="0" w:sz="0" w:val="nil"/>
              </w:pBdr>
              <w:tabs>
                <w:tab w:val="left" w:pos="-576"/>
                <w:tab w:val="left" w:pos="423"/>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7A">
            <w:pPr>
              <w:numPr>
                <w:ilvl w:val="1"/>
                <w:numId w:val="1"/>
              </w:numPr>
              <w:pBdr>
                <w:top w:space="0" w:sz="0" w:val="nil"/>
                <w:left w:space="0" w:sz="0" w:val="nil"/>
                <w:bottom w:space="0" w:sz="0" w:val="nil"/>
                <w:right w:space="0" w:sz="0" w:val="nil"/>
                <w:between w:space="0" w:sz="0" w:val="nil"/>
              </w:pBdr>
              <w:tabs>
                <w:tab w:val="left" w:pos="-576"/>
                <w:tab w:val="left" w:pos="423"/>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7B">
            <w:pPr>
              <w:numPr>
                <w:ilvl w:val="1"/>
                <w:numId w:val="1"/>
              </w:numPr>
              <w:pBdr>
                <w:top w:space="0" w:sz="0" w:val="nil"/>
                <w:left w:space="0" w:sz="0" w:val="nil"/>
                <w:bottom w:space="0" w:sz="0" w:val="nil"/>
                <w:right w:space="0" w:sz="0" w:val="nil"/>
                <w:between w:space="0" w:sz="0" w:val="nil"/>
              </w:pBdr>
              <w:tabs>
                <w:tab w:val="left" w:pos="-576"/>
                <w:tab w:val="left" w:pos="423"/>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7C">
            <w:pPr>
              <w:numPr>
                <w:ilvl w:val="1"/>
                <w:numId w:val="1"/>
              </w:numPr>
              <w:pBdr>
                <w:top w:space="0" w:sz="0" w:val="nil"/>
                <w:left w:space="0" w:sz="0" w:val="nil"/>
                <w:bottom w:space="0" w:sz="0" w:val="nil"/>
                <w:right w:space="0" w:sz="0" w:val="nil"/>
                <w:between w:space="0" w:sz="0" w:val="nil"/>
              </w:pBdr>
              <w:tabs>
                <w:tab w:val="left" w:pos="-576"/>
                <w:tab w:val="left" w:pos="423"/>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7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8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w:t>
            </w:r>
          </w:p>
          <w:p w:rsidR="00000000" w:rsidDel="00000000" w:rsidP="00000000" w:rsidRDefault="00000000" w:rsidRPr="00000000" w14:paraId="00000081">
            <w:pPr>
              <w:numPr>
                <w:ilvl w:val="1"/>
                <w:numId w:val="25"/>
              </w:numPr>
              <w:pBdr>
                <w:top w:space="0" w:sz="0" w:val="nil"/>
                <w:left w:space="0" w:sz="0" w:val="nil"/>
                <w:bottom w:space="0" w:sz="0" w:val="nil"/>
                <w:right w:space="0" w:sz="0" w:val="nil"/>
                <w:between w:space="0" w:sz="0" w:val="nil"/>
              </w:pBdr>
              <w:tabs>
                <w:tab w:val="left" w:pos="-179"/>
                <w:tab w:val="left" w:pos="-9"/>
              </w:tabs>
              <w:spacing w:after="120" w:line="276" w:lineRule="auto"/>
              <w:ind w:left="42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of control within the meaning of Section 450 of the Corporation Tax Act 2010; or</w:t>
            </w:r>
          </w:p>
          <w:p w:rsidR="00000000" w:rsidDel="00000000" w:rsidP="00000000" w:rsidRDefault="00000000" w:rsidRPr="00000000" w14:paraId="00000082">
            <w:pPr>
              <w:numPr>
                <w:ilvl w:val="1"/>
                <w:numId w:val="25"/>
              </w:numPr>
              <w:pBdr>
                <w:top w:space="0" w:sz="0" w:val="nil"/>
                <w:left w:space="0" w:sz="0" w:val="nil"/>
                <w:bottom w:space="0" w:sz="0" w:val="nil"/>
                <w:right w:space="0" w:sz="0" w:val="nil"/>
                <w:between w:space="0" w:sz="0" w:val="nil"/>
              </w:pBdr>
              <w:tabs>
                <w:tab w:val="left" w:pos="-179"/>
                <w:tab w:val="left" w:pos="-9"/>
              </w:tabs>
              <w:spacing w:after="120" w:line="276" w:lineRule="auto"/>
              <w:ind w:left="423"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instance where the Supplier demerges into 2 or more firms, merges with another firm, incorporated or otherwise changes its legal form;</w:t>
            </w:r>
          </w:p>
        </w:tc>
      </w:tr>
      <w:tr>
        <w:trPr>
          <w:cantSplit w:val="0"/>
          <w:tblHeader w:val="0"/>
        </w:trPr>
        <w:tc>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8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8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8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8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8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“Complaint”</w:t>
            </w:r>
          </w:p>
        </w:tc>
        <w:tc>
          <w:tcPr/>
          <w:p w:rsidR="00000000" w:rsidDel="00000000" w:rsidP="00000000" w:rsidRDefault="00000000" w:rsidRPr="00000000" w14:paraId="0000008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formal written complaint made by any Other Contracting Authority in relation to the performance of a Contract in accordance with Clauses 34.7 to 34.9 (Complaints Handling);</w:t>
            </w:r>
          </w:p>
        </w:tc>
      </w:tr>
      <w:tr>
        <w:trPr>
          <w:cantSplit w:val="0"/>
          <w:tblHeader w:val="0"/>
        </w:trPr>
        <w:tc>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8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8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9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91">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 and includes the meaning set out in the SRA Standards and Regulations (issued 29 October 2019: https://www.sra.org.uk/solicitors/guidance/ethics-guidance/conflicts-interest/) or equivalent Regulatory Compliance requirements in Jurisdictions other than England and Wales, as amended from time to time;</w:t>
            </w:r>
          </w:p>
        </w:tc>
      </w:tr>
      <w:tr>
        <w:trPr>
          <w:cantSplit w:val="0"/>
          <w:tblHeader w:val="0"/>
        </w:trPr>
        <w:tc>
          <w:tcPr/>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9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9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9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9F">
            <w:pPr>
              <w:pBdr>
                <w:top w:space="0" w:sz="0" w:val="nil"/>
                <w:left w:space="0" w:sz="0" w:val="nil"/>
                <w:bottom w:space="0" w:sz="0" w:val="nil"/>
                <w:right w:space="0" w:sz="0" w:val="nil"/>
                <w:between w:space="0" w:sz="0" w:val="nil"/>
              </w:pBdr>
              <w:tabs>
                <w:tab w:val="left" w:pos="-179"/>
                <w:tab w:val="left" w:pos="424"/>
              </w:tabs>
              <w:spacing w:after="120" w:lineRule="auto"/>
              <w:ind w:left="424" w:hanging="42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control in either of the senses defined in sections 450 and 1124 of the Corporation Tax Act 2010; or</w:t>
            </w:r>
          </w:p>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pos="-179"/>
                <w:tab w:val="left" w:pos="424"/>
              </w:tabs>
              <w:spacing w:after="120" w:lineRule="auto"/>
              <w:ind w:left="424" w:hanging="42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any instance where the Supplier demerges into 2 or more firms, merges with another firm, incorporated or otherwise changes its legal form;</w:t>
            </w:r>
          </w:p>
          <w:p w:rsidR="00000000" w:rsidDel="00000000" w:rsidP="00000000" w:rsidRDefault="00000000" w:rsidRPr="00000000" w14:paraId="000000A1">
            <w:pPr>
              <w:pBdr>
                <w:top w:space="0" w:sz="0" w:val="nil"/>
                <w:left w:space="0" w:sz="0" w:val="nil"/>
                <w:bottom w:space="0" w:sz="0" w:val="nil"/>
                <w:right w:space="0" w:sz="0" w:val="nil"/>
                <w:between w:space="0" w:sz="0" w:val="nil"/>
              </w:pBdr>
              <w:tabs>
                <w:tab w:val="left" w:pos="-179"/>
                <w:tab w:val="left" w:pos="424"/>
              </w:tabs>
              <w:spacing w:after="120" w:lineRule="auto"/>
              <w:ind w:left="424" w:hanging="42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A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A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A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A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A7">
            <w:pPr>
              <w:pBdr>
                <w:top w:space="0" w:sz="0" w:val="nil"/>
                <w:left w:space="0" w:sz="0" w:val="nil"/>
                <w:bottom w:space="0" w:sz="0" w:val="nil"/>
                <w:right w:space="0" w:sz="0" w:val="nil"/>
                <w:between w:space="0" w:sz="0" w:val="nil"/>
              </w:pBdr>
              <w:tabs>
                <w:tab w:val="left" w:pos="13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A8">
            <w:pPr>
              <w:numPr>
                <w:ilvl w:val="1"/>
                <w:numId w:val="22"/>
              </w:numPr>
              <w:pBdr>
                <w:top w:space="0" w:sz="0" w:val="nil"/>
                <w:left w:space="0" w:sz="0" w:val="nil"/>
                <w:bottom w:space="0" w:sz="0" w:val="nil"/>
                <w:right w:space="0" w:sz="0" w:val="nil"/>
                <w:between w:space="0" w:sz="0" w:val="nil"/>
              </w:pBdr>
              <w:tabs>
                <w:tab w:val="left" w:pos="-576"/>
                <w:tab w:val="left" w:pos="144"/>
                <w:tab w:val="left" w:pos="423"/>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A9">
            <w:pPr>
              <w:numPr>
                <w:ilvl w:val="2"/>
                <w:numId w:val="22"/>
              </w:numPr>
              <w:pBdr>
                <w:top w:space="0" w:sz="0" w:val="nil"/>
                <w:left w:space="0" w:sz="0" w:val="nil"/>
                <w:bottom w:space="0" w:sz="0" w:val="nil"/>
                <w:right w:space="0" w:sz="0" w:val="nil"/>
                <w:between w:space="0" w:sz="0" w:val="nil"/>
              </w:pBdr>
              <w:tabs>
                <w:tab w:val="left" w:pos="-576"/>
                <w:tab w:val="left" w:pos="144"/>
                <w:tab w:val="left" w:pos="990"/>
              </w:tabs>
              <w:spacing w:after="120" w:lineRule="auto"/>
              <w:ind w:left="990"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AA">
            <w:pPr>
              <w:numPr>
                <w:ilvl w:val="2"/>
                <w:numId w:val="22"/>
              </w:numPr>
              <w:pBdr>
                <w:top w:space="0" w:sz="0" w:val="nil"/>
                <w:left w:space="0" w:sz="0" w:val="nil"/>
                <w:bottom w:space="0" w:sz="0" w:val="nil"/>
                <w:right w:space="0" w:sz="0" w:val="nil"/>
                <w:between w:space="0" w:sz="0" w:val="nil"/>
              </w:pBdr>
              <w:tabs>
                <w:tab w:val="left" w:pos="-576"/>
                <w:tab w:val="left" w:pos="144"/>
                <w:tab w:val="left" w:pos="990"/>
              </w:tabs>
              <w:spacing w:after="120" w:lineRule="auto"/>
              <w:ind w:left="990"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AB">
            <w:pPr>
              <w:numPr>
                <w:ilvl w:val="2"/>
                <w:numId w:val="22"/>
              </w:numPr>
              <w:pBdr>
                <w:top w:space="0" w:sz="0" w:val="nil"/>
                <w:left w:space="0" w:sz="0" w:val="nil"/>
                <w:bottom w:space="0" w:sz="0" w:val="nil"/>
                <w:right w:space="0" w:sz="0" w:val="nil"/>
                <w:between w:space="0" w:sz="0" w:val="nil"/>
              </w:pBdr>
              <w:tabs>
                <w:tab w:val="left" w:pos="-576"/>
                <w:tab w:val="left" w:pos="144"/>
                <w:tab w:val="left" w:pos="990"/>
              </w:tabs>
              <w:spacing w:after="120" w:lineRule="auto"/>
              <w:ind w:left="990"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AC">
            <w:pPr>
              <w:numPr>
                <w:ilvl w:val="2"/>
                <w:numId w:val="22"/>
              </w:numPr>
              <w:pBdr>
                <w:top w:space="0" w:sz="0" w:val="nil"/>
                <w:left w:space="0" w:sz="0" w:val="nil"/>
                <w:bottom w:space="0" w:sz="0" w:val="nil"/>
                <w:right w:space="0" w:sz="0" w:val="nil"/>
                <w:between w:space="0" w:sz="0" w:val="nil"/>
              </w:pBdr>
              <w:tabs>
                <w:tab w:val="left" w:pos="-576"/>
                <w:tab w:val="left" w:pos="144"/>
                <w:tab w:val="left" w:pos="990"/>
              </w:tabs>
              <w:spacing w:after="120" w:lineRule="auto"/>
              <w:ind w:left="990"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AD">
            <w:pPr>
              <w:numPr>
                <w:ilvl w:val="2"/>
                <w:numId w:val="22"/>
              </w:numPr>
              <w:pBdr>
                <w:top w:space="0" w:sz="0" w:val="nil"/>
                <w:left w:space="0" w:sz="0" w:val="nil"/>
                <w:bottom w:space="0" w:sz="0" w:val="nil"/>
                <w:right w:space="0" w:sz="0" w:val="nil"/>
                <w:between w:space="0" w:sz="0" w:val="nil"/>
              </w:pBdr>
              <w:tabs>
                <w:tab w:val="left" w:pos="-576"/>
                <w:tab w:val="left" w:pos="144"/>
                <w:tab w:val="left" w:pos="990"/>
              </w:tabs>
              <w:spacing w:after="120" w:lineRule="auto"/>
              <w:ind w:left="990"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AE">
            <w:pPr>
              <w:numPr>
                <w:ilvl w:val="2"/>
                <w:numId w:val="22"/>
              </w:numPr>
              <w:pBdr>
                <w:top w:space="0" w:sz="0" w:val="nil"/>
                <w:left w:space="0" w:sz="0" w:val="nil"/>
                <w:bottom w:space="0" w:sz="0" w:val="nil"/>
                <w:right w:space="0" w:sz="0" w:val="nil"/>
                <w:between w:space="0" w:sz="0" w:val="nil"/>
              </w:pBdr>
              <w:tabs>
                <w:tab w:val="left" w:pos="-576"/>
                <w:tab w:val="left" w:pos="144"/>
                <w:tab w:val="left" w:pos="990"/>
              </w:tabs>
              <w:spacing w:after="120" w:lineRule="auto"/>
              <w:ind w:left="990"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AF">
            <w:pPr>
              <w:numPr>
                <w:ilvl w:val="2"/>
                <w:numId w:val="22"/>
              </w:numPr>
              <w:pBdr>
                <w:top w:space="0" w:sz="0" w:val="nil"/>
                <w:left w:space="0" w:sz="0" w:val="nil"/>
                <w:bottom w:space="0" w:sz="0" w:val="nil"/>
                <w:right w:space="0" w:sz="0" w:val="nil"/>
                <w:between w:space="0" w:sz="0" w:val="nil"/>
              </w:pBdr>
              <w:tabs>
                <w:tab w:val="left" w:pos="-576"/>
                <w:tab w:val="left" w:pos="144"/>
                <w:tab w:val="left" w:pos="990"/>
              </w:tabs>
              <w:spacing w:after="120" w:lineRule="auto"/>
              <w:ind w:left="990" w:hanging="423"/>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workplace</w:t>
            </w:r>
            <w:r w:rsidDel="00000000" w:rsidR="00000000" w:rsidRPr="00000000">
              <w:rPr>
                <w:rFonts w:ascii="Arial" w:cs="Arial" w:eastAsia="Arial" w:hAnsi="Arial"/>
                <w:color w:val="000000"/>
                <w:sz w:val="24"/>
                <w:szCs w:val="24"/>
                <w:rtl w:val="0"/>
              </w:rPr>
              <w:t xml:space="preserve"> accommodation;</w:t>
            </w:r>
          </w:p>
          <w:p w:rsidR="00000000" w:rsidDel="00000000" w:rsidP="00000000" w:rsidRDefault="00000000" w:rsidRPr="00000000" w14:paraId="000000B0">
            <w:pPr>
              <w:numPr>
                <w:ilvl w:val="2"/>
                <w:numId w:val="22"/>
              </w:numPr>
              <w:pBdr>
                <w:top w:space="0" w:sz="0" w:val="nil"/>
                <w:left w:space="0" w:sz="0" w:val="nil"/>
                <w:bottom w:space="0" w:sz="0" w:val="nil"/>
                <w:right w:space="0" w:sz="0" w:val="nil"/>
                <w:between w:space="0" w:sz="0" w:val="nil"/>
              </w:pBdr>
              <w:tabs>
                <w:tab w:val="left" w:pos="-576"/>
                <w:tab w:val="left" w:pos="144"/>
                <w:tab w:val="left" w:pos="990"/>
              </w:tabs>
              <w:spacing w:after="120" w:lineRule="auto"/>
              <w:ind w:left="990" w:hanging="423"/>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workplace</w:t>
            </w:r>
            <w:r w:rsidDel="00000000" w:rsidR="00000000" w:rsidRPr="00000000">
              <w:rPr>
                <w:rFonts w:ascii="Arial" w:cs="Arial" w:eastAsia="Arial" w:hAnsi="Arial"/>
                <w:color w:val="000000"/>
                <w:sz w:val="24"/>
                <w:szCs w:val="24"/>
                <w:rtl w:val="0"/>
              </w:rPr>
              <w:t xml:space="preserve"> IT equipment and tools reasonably necessary to provide the Deliverables (but not including items included within limb (b) below); and</w:t>
            </w:r>
          </w:p>
          <w:p w:rsidR="00000000" w:rsidDel="00000000" w:rsidP="00000000" w:rsidRDefault="00000000" w:rsidRPr="00000000" w14:paraId="000000B1">
            <w:pPr>
              <w:numPr>
                <w:ilvl w:val="2"/>
                <w:numId w:val="22"/>
              </w:numPr>
              <w:pBdr>
                <w:top w:space="0" w:sz="0" w:val="nil"/>
                <w:left w:space="0" w:sz="0" w:val="nil"/>
                <w:bottom w:space="0" w:sz="0" w:val="nil"/>
                <w:right w:space="0" w:sz="0" w:val="nil"/>
                <w:between w:space="0" w:sz="0" w:val="nil"/>
              </w:pBdr>
              <w:tabs>
                <w:tab w:val="left" w:pos="-576"/>
                <w:tab w:val="left" w:pos="144"/>
                <w:tab w:val="left" w:pos="990"/>
              </w:tabs>
              <w:spacing w:after="120" w:lineRule="auto"/>
              <w:ind w:left="990"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B2">
            <w:pPr>
              <w:numPr>
                <w:ilvl w:val="1"/>
                <w:numId w:val="22"/>
              </w:numPr>
              <w:pBdr>
                <w:top w:space="0" w:sz="0" w:val="nil"/>
                <w:left w:space="0" w:sz="0" w:val="nil"/>
                <w:bottom w:space="0" w:sz="0" w:val="nil"/>
                <w:right w:space="0" w:sz="0" w:val="nil"/>
                <w:between w:space="0" w:sz="0" w:val="nil"/>
              </w:pBdr>
              <w:tabs>
                <w:tab w:val="left" w:pos="-576"/>
                <w:tab w:val="left" w:pos="144"/>
                <w:tab w:val="left" w:pos="423"/>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B3">
            <w:pPr>
              <w:numPr>
                <w:ilvl w:val="1"/>
                <w:numId w:val="22"/>
              </w:numPr>
              <w:pBdr>
                <w:top w:space="0" w:sz="0" w:val="nil"/>
                <w:left w:space="0" w:sz="0" w:val="nil"/>
                <w:bottom w:space="0" w:sz="0" w:val="nil"/>
                <w:right w:space="0" w:sz="0" w:val="nil"/>
                <w:between w:space="0" w:sz="0" w:val="nil"/>
              </w:pBdr>
              <w:tabs>
                <w:tab w:val="left" w:pos="-576"/>
                <w:tab w:val="left" w:pos="144"/>
                <w:tab w:val="left" w:pos="423"/>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B4">
            <w:pPr>
              <w:numPr>
                <w:ilvl w:val="1"/>
                <w:numId w:val="22"/>
              </w:numPr>
              <w:pBdr>
                <w:top w:space="0" w:sz="0" w:val="nil"/>
                <w:left w:space="0" w:sz="0" w:val="nil"/>
                <w:bottom w:space="0" w:sz="0" w:val="nil"/>
                <w:right w:space="0" w:sz="0" w:val="nil"/>
                <w:between w:space="0" w:sz="0" w:val="nil"/>
              </w:pBdr>
              <w:tabs>
                <w:tab w:val="left" w:pos="-576"/>
                <w:tab w:val="left" w:pos="144"/>
                <w:tab w:val="left" w:pos="423"/>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left" w:pos="423"/>
              </w:tabs>
              <w:spacing w:after="120" w:lineRule="auto"/>
              <w:ind w:left="423" w:hanging="4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B6">
            <w:pPr>
              <w:numPr>
                <w:ilvl w:val="0"/>
                <w:numId w:val="14"/>
              </w:numPr>
              <w:pBdr>
                <w:top w:space="0" w:sz="0" w:val="nil"/>
                <w:left w:space="0" w:sz="0" w:val="nil"/>
                <w:bottom w:space="0" w:sz="0" w:val="nil"/>
                <w:right w:space="0" w:sz="0" w:val="nil"/>
                <w:between w:space="0" w:sz="0" w:val="nil"/>
              </w:pBdr>
              <w:tabs>
                <w:tab w:val="left" w:pos="-576"/>
                <w:tab w:val="left" w:pos="144"/>
                <w:tab w:val="left" w:pos="423"/>
              </w:tabs>
              <w:spacing w:after="120" w:line="276" w:lineRule="auto"/>
              <w:ind w:left="991" w:hanging="6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w:t>
            </w:r>
          </w:p>
          <w:p w:rsidR="00000000" w:rsidDel="00000000" w:rsidP="00000000" w:rsidRDefault="00000000" w:rsidRPr="00000000" w14:paraId="000000B7">
            <w:pPr>
              <w:numPr>
                <w:ilvl w:val="0"/>
                <w:numId w:val="14"/>
              </w:numPr>
              <w:pBdr>
                <w:top w:space="0" w:sz="0" w:val="nil"/>
                <w:left w:space="0" w:sz="0" w:val="nil"/>
                <w:bottom w:space="0" w:sz="0" w:val="nil"/>
                <w:right w:space="0" w:sz="0" w:val="nil"/>
                <w:between w:space="0" w:sz="0" w:val="nil"/>
              </w:pBdr>
              <w:tabs>
                <w:tab w:val="left" w:pos="-576"/>
                <w:tab w:val="left" w:pos="144"/>
                <w:tab w:val="left" w:pos="423"/>
              </w:tabs>
              <w:spacing w:after="120" w:line="276" w:lineRule="auto"/>
              <w:ind w:left="991" w:hanging="6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financing or similar costs;</w:t>
            </w:r>
          </w:p>
          <w:p w:rsidR="00000000" w:rsidDel="00000000" w:rsidP="00000000" w:rsidRDefault="00000000" w:rsidRPr="00000000" w14:paraId="000000B8">
            <w:pPr>
              <w:numPr>
                <w:ilvl w:val="0"/>
                <w:numId w:val="14"/>
              </w:numPr>
              <w:pBdr>
                <w:top w:space="0" w:sz="0" w:val="nil"/>
                <w:left w:space="0" w:sz="0" w:val="nil"/>
                <w:bottom w:space="0" w:sz="0" w:val="nil"/>
                <w:right w:space="0" w:sz="0" w:val="nil"/>
                <w:between w:space="0" w:sz="0" w:val="nil"/>
              </w:pBdr>
              <w:tabs>
                <w:tab w:val="left" w:pos="-576"/>
                <w:tab w:val="left" w:pos="144"/>
                <w:tab w:val="left" w:pos="423"/>
              </w:tabs>
              <w:spacing w:after="120" w:line="276" w:lineRule="auto"/>
              <w:ind w:left="991" w:hanging="6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B9">
            <w:pPr>
              <w:numPr>
                <w:ilvl w:val="0"/>
                <w:numId w:val="14"/>
              </w:numPr>
              <w:pBdr>
                <w:top w:space="0" w:sz="0" w:val="nil"/>
                <w:left w:space="0" w:sz="0" w:val="nil"/>
                <w:bottom w:space="0" w:sz="0" w:val="nil"/>
                <w:right w:space="0" w:sz="0" w:val="nil"/>
                <w:between w:space="0" w:sz="0" w:val="nil"/>
              </w:pBdr>
              <w:tabs>
                <w:tab w:val="left" w:pos="-576"/>
                <w:tab w:val="left" w:pos="144"/>
                <w:tab w:val="left" w:pos="423"/>
              </w:tabs>
              <w:spacing w:after="120" w:line="276" w:lineRule="auto"/>
              <w:ind w:left="991" w:hanging="6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taxation;</w:t>
            </w:r>
          </w:p>
          <w:p w:rsidR="00000000" w:rsidDel="00000000" w:rsidP="00000000" w:rsidRDefault="00000000" w:rsidRPr="00000000" w14:paraId="000000BA">
            <w:pPr>
              <w:numPr>
                <w:ilvl w:val="0"/>
                <w:numId w:val="14"/>
              </w:numPr>
              <w:pBdr>
                <w:top w:space="0" w:sz="0" w:val="nil"/>
                <w:left w:space="0" w:sz="0" w:val="nil"/>
                <w:bottom w:space="0" w:sz="0" w:val="nil"/>
                <w:right w:space="0" w:sz="0" w:val="nil"/>
                <w:between w:space="0" w:sz="0" w:val="nil"/>
              </w:pBdr>
              <w:tabs>
                <w:tab w:val="left" w:pos="-576"/>
                <w:tab w:val="left" w:pos="144"/>
                <w:tab w:val="left" w:pos="423"/>
              </w:tabs>
              <w:spacing w:after="120" w:line="276" w:lineRule="auto"/>
              <w:ind w:left="991" w:hanging="6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fines and penalties;</w:t>
            </w:r>
          </w:p>
          <w:p w:rsidR="00000000" w:rsidDel="00000000" w:rsidP="00000000" w:rsidRDefault="00000000" w:rsidRPr="00000000" w14:paraId="000000BB">
            <w:pPr>
              <w:numPr>
                <w:ilvl w:val="0"/>
                <w:numId w:val="14"/>
              </w:numPr>
              <w:pBdr>
                <w:top w:space="0" w:sz="0" w:val="nil"/>
                <w:left w:space="0" w:sz="0" w:val="nil"/>
                <w:bottom w:space="0" w:sz="0" w:val="nil"/>
                <w:right w:space="0" w:sz="0" w:val="nil"/>
                <w:between w:space="0" w:sz="0" w:val="nil"/>
              </w:pBdr>
              <w:tabs>
                <w:tab w:val="left" w:pos="-576"/>
                <w:tab w:val="left" w:pos="144"/>
                <w:tab w:val="left" w:pos="423"/>
              </w:tabs>
              <w:spacing w:after="120" w:line="276" w:lineRule="auto"/>
              <w:ind w:left="991" w:hanging="6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amounts payable under Call-Off Schedule 16 (Benchmarking) where such Schedule is used; and</w:t>
            </w:r>
          </w:p>
          <w:p w:rsidR="00000000" w:rsidDel="00000000" w:rsidP="00000000" w:rsidRDefault="00000000" w:rsidRPr="00000000" w14:paraId="000000BC">
            <w:pPr>
              <w:numPr>
                <w:ilvl w:val="0"/>
                <w:numId w:val="14"/>
              </w:numPr>
              <w:pBdr>
                <w:top w:space="0" w:sz="0" w:val="nil"/>
                <w:left w:space="0" w:sz="0" w:val="nil"/>
                <w:bottom w:space="0" w:sz="0" w:val="nil"/>
                <w:right w:space="0" w:sz="0" w:val="nil"/>
                <w:between w:space="0" w:sz="0" w:val="nil"/>
              </w:pBdr>
              <w:tabs>
                <w:tab w:val="left" w:pos="-576"/>
                <w:tab w:val="left" w:pos="144"/>
                <w:tab w:val="left" w:pos="423"/>
              </w:tabs>
              <w:spacing w:after="120" w:line="276" w:lineRule="auto"/>
              <w:ind w:left="991" w:hanging="6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B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C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C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C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C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C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“Day Rate”</w:t>
            </w:r>
          </w:p>
        </w:tc>
        <w:tc>
          <w:tcPr/>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Pricing Mechanism where the Supplier will invoice the Buyer for Supplier Staff providing Deliverables (or one or more of the elements of the Deliverables) based on a rate for no more than 8 Work Hours performed by the Supplier’s Staff based on the applicable grade(s) set out in Annex 1 of Framework Schedule 3 (Framework Schedule 3 (Framework Prices);</w:t>
            </w:r>
          </w:p>
        </w:tc>
      </w:tr>
      <w:tr>
        <w:trPr>
          <w:cantSplit w:val="0"/>
          <w:tblHeader w:val="0"/>
        </w:trPr>
        <w:tc>
          <w:tcPr/>
          <w:p w:rsidR="00000000" w:rsidDel="00000000" w:rsidP="00000000" w:rsidRDefault="00000000" w:rsidRPr="00000000" w14:paraId="000000C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C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D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D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D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D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E1">
            <w:pPr>
              <w:numPr>
                <w:ilvl w:val="1"/>
                <w:numId w:val="2"/>
              </w:numPr>
              <w:pBdr>
                <w:top w:space="0" w:sz="0" w:val="nil"/>
                <w:left w:space="0" w:sz="0" w:val="nil"/>
                <w:bottom w:space="0" w:sz="0" w:val="nil"/>
                <w:right w:space="0" w:sz="0" w:val="nil"/>
                <w:between w:space="0" w:sz="0" w:val="nil"/>
              </w:pBdr>
              <w:tabs>
                <w:tab w:val="left" w:pos="-576"/>
                <w:tab w:val="left" w:pos="706"/>
              </w:tabs>
              <w:spacing w:after="120" w:lineRule="auto"/>
              <w:ind w:left="566" w:hanging="3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E2">
            <w:pPr>
              <w:numPr>
                <w:ilvl w:val="1"/>
                <w:numId w:val="2"/>
              </w:numPr>
              <w:pBdr>
                <w:top w:space="0" w:sz="0" w:val="nil"/>
                <w:left w:space="0" w:sz="0" w:val="nil"/>
                <w:bottom w:space="0" w:sz="0" w:val="nil"/>
                <w:right w:space="0" w:sz="0" w:val="nil"/>
                <w:between w:space="0" w:sz="0" w:val="nil"/>
              </w:pBdr>
              <w:tabs>
                <w:tab w:val="left" w:pos="-576"/>
                <w:tab w:val="left" w:pos="706"/>
              </w:tabs>
              <w:spacing w:after="120" w:lineRule="auto"/>
              <w:ind w:left="566" w:hanging="3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E3">
            <w:pPr>
              <w:numPr>
                <w:ilvl w:val="1"/>
                <w:numId w:val="2"/>
              </w:numPr>
              <w:pBdr>
                <w:top w:space="0" w:sz="0" w:val="nil"/>
                <w:left w:space="0" w:sz="0" w:val="nil"/>
                <w:bottom w:space="0" w:sz="0" w:val="nil"/>
                <w:right w:space="0" w:sz="0" w:val="nil"/>
                <w:between w:space="0" w:sz="0" w:val="nil"/>
              </w:pBdr>
              <w:tabs>
                <w:tab w:val="left" w:pos="-576"/>
                <w:tab w:val="left" w:pos="706"/>
              </w:tabs>
              <w:spacing w:after="120" w:lineRule="auto"/>
              <w:ind w:left="566" w:hanging="39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E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E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E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F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F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F4">
            <w:pPr>
              <w:numPr>
                <w:ilvl w:val="1"/>
                <w:numId w:val="27"/>
              </w:numPr>
              <w:pBdr>
                <w:top w:space="0" w:sz="0" w:val="nil"/>
                <w:left w:space="0" w:sz="0" w:val="nil"/>
                <w:bottom w:space="0" w:sz="0" w:val="nil"/>
                <w:right w:space="0" w:sz="0" w:val="nil"/>
                <w:between w:space="0" w:sz="0" w:val="nil"/>
              </w:pBdr>
              <w:tabs>
                <w:tab w:val="left" w:pos="-576"/>
                <w:tab w:val="left" w:pos="144"/>
              </w:tabs>
              <w:spacing w:after="120" w:lineRule="auto"/>
              <w:ind w:left="848" w:hanging="67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Expiry Date (as extended by any Extension Period exercised by the Relevant Authority under Clause 10.1.2); or</w:t>
            </w:r>
          </w:p>
          <w:p w:rsidR="00000000" w:rsidDel="00000000" w:rsidP="00000000" w:rsidRDefault="00000000" w:rsidRPr="00000000" w14:paraId="000000F5">
            <w:pPr>
              <w:numPr>
                <w:ilvl w:val="1"/>
                <w:numId w:val="27"/>
              </w:numPr>
              <w:pBdr>
                <w:top w:space="0" w:sz="0" w:val="nil"/>
                <w:left w:space="0" w:sz="0" w:val="nil"/>
                <w:bottom w:space="0" w:sz="0" w:val="nil"/>
                <w:right w:space="0" w:sz="0" w:val="nil"/>
                <w:between w:space="0" w:sz="0" w:val="nil"/>
              </w:pBdr>
              <w:tabs>
                <w:tab w:val="left" w:pos="-576"/>
                <w:tab w:val="left" w:pos="144"/>
              </w:tabs>
              <w:spacing w:after="120" w:lineRule="auto"/>
              <w:ind w:left="848" w:hanging="67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F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F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F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FD">
      <w:pPr>
        <w:widowControl w:val="0"/>
        <w:pBdr>
          <w:top w:space="0" w:sz="0" w:val="nil"/>
          <w:left w:space="0" w:sz="0" w:val="nil"/>
          <w:bottom w:space="0" w:sz="0" w:val="nil"/>
          <w:right w:space="0" w:sz="0" w:val="nil"/>
          <w:between w:space="0" w:sz="0" w:val="nil"/>
        </w:pBdr>
        <w:spacing w:after="0" w:lineRule="auto"/>
        <w:rPr>
          <w:rFonts w:ascii="Arial" w:cs="Arial" w:eastAsia="Arial" w:hAnsi="Arial"/>
          <w:color w:val="000000"/>
          <w:sz w:val="24"/>
          <w:szCs w:val="24"/>
        </w:rPr>
      </w:pPr>
      <w:r w:rsidDel="00000000" w:rsidR="00000000" w:rsidRPr="00000000">
        <w:rPr>
          <w:rtl w:val="0"/>
        </w:rPr>
      </w:r>
    </w:p>
    <w:tbl>
      <w:tblPr>
        <w:tblStyle w:val="Table2"/>
        <w:tblW w:w="10491.0" w:type="dxa"/>
        <w:jc w:val="left"/>
        <w:tblInd w:w="-43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97"/>
        <w:gridCol w:w="7894"/>
        <w:tblGridChange w:id="0">
          <w:tblGrid>
            <w:gridCol w:w="2597"/>
            <w:gridCol w:w="7894"/>
          </w:tblGrid>
        </w:tblGridChange>
      </w:tblGrid>
      <w:tr>
        <w:trPr>
          <w:cantSplit w:val="0"/>
          <w:trHeight w:val="2424" w:hRule="atLeast"/>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F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pos="-17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purposes of calculating each Party’s annual liability under clause 11.2:</w:t>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pos="-179"/>
              </w:tabs>
              <w:spacing w:after="120" w:lineRule="auto"/>
              <w:ind w:left="420" w:hanging="4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in the first Contract Year, the Estimated Year 1 Charges; or </w:t>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pos="-179"/>
              </w:tabs>
              <w:spacing w:after="120" w:lineRule="auto"/>
              <w:ind w:left="420" w:hanging="4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in the any subsequent Contract Years, the Charges paid or payable in the previous Call-off Contract Year; or</w:t>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pos="-179"/>
              </w:tabs>
              <w:spacing w:after="120" w:lineRule="auto"/>
              <w:ind w:left="420" w:hanging="4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after the end of the Call-off Contract, the Charges paid or payable in the last Contract Year during the Call-off Contract Period;  </w:t>
            </w:r>
          </w:p>
        </w:tc>
      </w:tr>
      <w:tr>
        <w:trPr>
          <w:cantSplit w:val="0"/>
          <w:trHeight w:val="41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Buyer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4">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public sector purchaser that is:</w:t>
            </w:r>
          </w:p>
          <w:p w:rsidR="00000000" w:rsidDel="00000000" w:rsidP="00000000" w:rsidRDefault="00000000" w:rsidRPr="00000000" w14:paraId="00000105">
            <w:pPr>
              <w:numPr>
                <w:ilvl w:val="0"/>
                <w:numId w:val="19"/>
              </w:numPr>
              <w:pBdr>
                <w:top w:space="0" w:sz="0" w:val="nil"/>
                <w:left w:space="0" w:sz="0" w:val="nil"/>
                <w:bottom w:space="0" w:sz="0" w:val="nil"/>
                <w:right w:space="0" w:sz="0" w:val="nil"/>
                <w:between w:space="0" w:sz="0" w:val="nil"/>
              </w:pBdr>
              <w:tabs>
                <w:tab w:val="left" w:pos="420"/>
              </w:tabs>
              <w:spacing w:after="120" w:lineRule="auto"/>
              <w:ind w:left="420" w:hanging="420"/>
              <w:jc w:val="both"/>
              <w:rPr>
                <w:sz w:val="24"/>
                <w:szCs w:val="24"/>
              </w:rPr>
            </w:pPr>
            <w:r w:rsidDel="00000000" w:rsidR="00000000" w:rsidRPr="00000000">
              <w:rPr>
                <w:rFonts w:ascii="Arial" w:cs="Arial" w:eastAsia="Arial" w:hAnsi="Arial"/>
                <w:color w:val="000000"/>
                <w:sz w:val="24"/>
                <w:szCs w:val="24"/>
                <w:rtl w:val="0"/>
              </w:rPr>
              <w:t xml:space="preserve">eligible to use the Framework Contract; and</w:t>
            </w:r>
            <w:r w:rsidDel="00000000" w:rsidR="00000000" w:rsidRPr="00000000">
              <w:rPr>
                <w:rtl w:val="0"/>
              </w:rPr>
            </w:r>
          </w:p>
          <w:p w:rsidR="00000000" w:rsidDel="00000000" w:rsidP="00000000" w:rsidRDefault="00000000" w:rsidRPr="00000000" w14:paraId="00000106">
            <w:pPr>
              <w:numPr>
                <w:ilvl w:val="0"/>
                <w:numId w:val="19"/>
              </w:numPr>
              <w:pBdr>
                <w:top w:space="0" w:sz="0" w:val="nil"/>
                <w:left w:space="0" w:sz="0" w:val="nil"/>
                <w:bottom w:space="0" w:sz="0" w:val="nil"/>
                <w:right w:space="0" w:sz="0" w:val="nil"/>
                <w:between w:space="0" w:sz="0" w:val="nil"/>
              </w:pBdr>
              <w:tabs>
                <w:tab w:val="left" w:pos="420"/>
              </w:tabs>
              <w:spacing w:after="120" w:lineRule="auto"/>
              <w:ind w:left="420" w:hanging="420"/>
              <w:jc w:val="both"/>
              <w:rPr>
                <w:sz w:val="24"/>
                <w:szCs w:val="24"/>
              </w:rPr>
            </w:pPr>
            <w:r w:rsidDel="00000000" w:rsidR="00000000" w:rsidRPr="00000000">
              <w:rPr>
                <w:rFonts w:ascii="Arial" w:cs="Arial" w:eastAsia="Arial" w:hAnsi="Arial"/>
                <w:color w:val="000000"/>
                <w:sz w:val="24"/>
                <w:szCs w:val="24"/>
                <w:rtl w:val="0"/>
              </w:rPr>
              <w:t xml:space="preserve">is entering into an Exempt Call-off Contract that is not subject to (as applicable) any of:</w:t>
            </w:r>
            <w:r w:rsidDel="00000000" w:rsidR="00000000" w:rsidRPr="00000000">
              <w:rPr>
                <w:rtl w:val="0"/>
              </w:rPr>
            </w:r>
          </w:p>
          <w:p w:rsidR="00000000" w:rsidDel="00000000" w:rsidP="00000000" w:rsidRDefault="00000000" w:rsidRPr="00000000" w14:paraId="00000107">
            <w:pPr>
              <w:numPr>
                <w:ilvl w:val="1"/>
                <w:numId w:val="19"/>
              </w:numPr>
              <w:pBdr>
                <w:top w:space="0" w:sz="0" w:val="nil"/>
                <w:left w:space="0" w:sz="0" w:val="nil"/>
                <w:bottom w:space="0" w:sz="0" w:val="nil"/>
                <w:right w:space="0" w:sz="0" w:val="nil"/>
                <w:between w:space="0" w:sz="0" w:val="nil"/>
              </w:pBdr>
              <w:tabs>
                <w:tab w:val="left" w:pos="-179"/>
                <w:tab w:val="left" w:pos="762"/>
              </w:tabs>
              <w:spacing w:after="120" w:lineRule="auto"/>
              <w:ind w:left="762" w:hanging="342"/>
              <w:jc w:val="both"/>
              <w:rPr>
                <w:sz w:val="24"/>
                <w:szCs w:val="24"/>
              </w:rPr>
            </w:pPr>
            <w:r w:rsidDel="00000000" w:rsidR="00000000" w:rsidRPr="00000000">
              <w:rPr>
                <w:rFonts w:ascii="Arial" w:cs="Arial" w:eastAsia="Arial" w:hAnsi="Arial"/>
                <w:color w:val="000000"/>
                <w:sz w:val="24"/>
                <w:szCs w:val="24"/>
                <w:rtl w:val="0"/>
              </w:rPr>
              <w:t xml:space="preserve">the Regulations;</w:t>
            </w:r>
            <w:r w:rsidDel="00000000" w:rsidR="00000000" w:rsidRPr="00000000">
              <w:rPr>
                <w:rtl w:val="0"/>
              </w:rPr>
            </w:r>
          </w:p>
          <w:p w:rsidR="00000000" w:rsidDel="00000000" w:rsidP="00000000" w:rsidRDefault="00000000" w:rsidRPr="00000000" w14:paraId="00000108">
            <w:pPr>
              <w:numPr>
                <w:ilvl w:val="1"/>
                <w:numId w:val="19"/>
              </w:numPr>
              <w:pBdr>
                <w:top w:space="0" w:sz="0" w:val="nil"/>
                <w:left w:space="0" w:sz="0" w:val="nil"/>
                <w:bottom w:space="0" w:sz="0" w:val="nil"/>
                <w:right w:space="0" w:sz="0" w:val="nil"/>
                <w:between w:space="0" w:sz="0" w:val="nil"/>
              </w:pBdr>
              <w:tabs>
                <w:tab w:val="left" w:pos="-179"/>
                <w:tab w:val="left" w:pos="762"/>
              </w:tabs>
              <w:spacing w:after="120" w:lineRule="auto"/>
              <w:ind w:left="762" w:hanging="342"/>
              <w:jc w:val="both"/>
              <w:rPr>
                <w:sz w:val="24"/>
                <w:szCs w:val="24"/>
              </w:rPr>
            </w:pPr>
            <w:r w:rsidDel="00000000" w:rsidR="00000000" w:rsidRPr="00000000">
              <w:rPr>
                <w:rFonts w:ascii="Arial" w:cs="Arial" w:eastAsia="Arial" w:hAnsi="Arial"/>
                <w:color w:val="000000"/>
                <w:sz w:val="24"/>
                <w:szCs w:val="24"/>
                <w:rtl w:val="0"/>
              </w:rPr>
              <w:t xml:space="preserve">the Concession Contracts Regulations 2016 (SI 2016/273);</w:t>
            </w:r>
            <w:r w:rsidDel="00000000" w:rsidR="00000000" w:rsidRPr="00000000">
              <w:rPr>
                <w:rtl w:val="0"/>
              </w:rPr>
            </w:r>
          </w:p>
          <w:p w:rsidR="00000000" w:rsidDel="00000000" w:rsidP="00000000" w:rsidRDefault="00000000" w:rsidRPr="00000000" w14:paraId="00000109">
            <w:pPr>
              <w:numPr>
                <w:ilvl w:val="1"/>
                <w:numId w:val="19"/>
              </w:numPr>
              <w:pBdr>
                <w:top w:space="0" w:sz="0" w:val="nil"/>
                <w:left w:space="0" w:sz="0" w:val="nil"/>
                <w:bottom w:space="0" w:sz="0" w:val="nil"/>
                <w:right w:space="0" w:sz="0" w:val="nil"/>
                <w:between w:space="0" w:sz="0" w:val="nil"/>
              </w:pBdr>
              <w:tabs>
                <w:tab w:val="left" w:pos="-179"/>
                <w:tab w:val="left" w:pos="762"/>
              </w:tabs>
              <w:spacing w:after="120" w:lineRule="auto"/>
              <w:ind w:left="762" w:hanging="342"/>
              <w:jc w:val="both"/>
              <w:rPr>
                <w:sz w:val="24"/>
                <w:szCs w:val="24"/>
              </w:rPr>
            </w:pPr>
            <w:r w:rsidDel="00000000" w:rsidR="00000000" w:rsidRPr="00000000">
              <w:rPr>
                <w:rFonts w:ascii="Arial" w:cs="Arial" w:eastAsia="Arial" w:hAnsi="Arial"/>
                <w:color w:val="000000"/>
                <w:sz w:val="24"/>
                <w:szCs w:val="24"/>
                <w:rtl w:val="0"/>
              </w:rPr>
              <w:t xml:space="preserve">the Utilities Contracts Regulations 2016 (SI 2016/274);</w:t>
            </w:r>
            <w:r w:rsidDel="00000000" w:rsidR="00000000" w:rsidRPr="00000000">
              <w:rPr>
                <w:rtl w:val="0"/>
              </w:rPr>
            </w:r>
          </w:p>
          <w:p w:rsidR="00000000" w:rsidDel="00000000" w:rsidP="00000000" w:rsidRDefault="00000000" w:rsidRPr="00000000" w14:paraId="0000010A">
            <w:pPr>
              <w:numPr>
                <w:ilvl w:val="1"/>
                <w:numId w:val="19"/>
              </w:numPr>
              <w:pBdr>
                <w:top w:space="0" w:sz="0" w:val="nil"/>
                <w:left w:space="0" w:sz="0" w:val="nil"/>
                <w:bottom w:space="0" w:sz="0" w:val="nil"/>
                <w:right w:space="0" w:sz="0" w:val="nil"/>
                <w:between w:space="0" w:sz="0" w:val="nil"/>
              </w:pBdr>
              <w:tabs>
                <w:tab w:val="left" w:pos="-179"/>
                <w:tab w:val="left" w:pos="762"/>
              </w:tabs>
              <w:spacing w:after="120" w:lineRule="auto"/>
              <w:ind w:left="762" w:hanging="342"/>
              <w:jc w:val="both"/>
              <w:rPr>
                <w:sz w:val="24"/>
                <w:szCs w:val="24"/>
              </w:rPr>
            </w:pPr>
            <w:r w:rsidDel="00000000" w:rsidR="00000000" w:rsidRPr="00000000">
              <w:rPr>
                <w:rFonts w:ascii="Arial" w:cs="Arial" w:eastAsia="Arial" w:hAnsi="Arial"/>
                <w:color w:val="000000"/>
                <w:sz w:val="24"/>
                <w:szCs w:val="24"/>
                <w:rtl w:val="0"/>
              </w:rPr>
              <w:t xml:space="preserve">the Defence and Security Public Contracts Regulations 2011 (SI 2011/1848);</w:t>
            </w:r>
            <w:r w:rsidDel="00000000" w:rsidR="00000000" w:rsidRPr="00000000">
              <w:rPr>
                <w:rtl w:val="0"/>
              </w:rPr>
            </w:r>
          </w:p>
          <w:p w:rsidR="00000000" w:rsidDel="00000000" w:rsidP="00000000" w:rsidRDefault="00000000" w:rsidRPr="00000000" w14:paraId="0000010B">
            <w:pPr>
              <w:numPr>
                <w:ilvl w:val="1"/>
                <w:numId w:val="19"/>
              </w:numPr>
              <w:pBdr>
                <w:top w:space="0" w:sz="0" w:val="nil"/>
                <w:left w:space="0" w:sz="0" w:val="nil"/>
                <w:bottom w:space="0" w:sz="0" w:val="nil"/>
                <w:right w:space="0" w:sz="0" w:val="nil"/>
                <w:between w:space="0" w:sz="0" w:val="nil"/>
              </w:pBdr>
              <w:tabs>
                <w:tab w:val="left" w:pos="-179"/>
                <w:tab w:val="left" w:pos="762"/>
              </w:tabs>
              <w:spacing w:after="120" w:lineRule="auto"/>
              <w:ind w:left="762" w:hanging="342"/>
              <w:jc w:val="both"/>
              <w:rPr>
                <w:sz w:val="24"/>
                <w:szCs w:val="24"/>
              </w:rPr>
            </w:pPr>
            <w:r w:rsidDel="00000000" w:rsidR="00000000" w:rsidRPr="00000000">
              <w:rPr>
                <w:rFonts w:ascii="Arial" w:cs="Arial" w:eastAsia="Arial" w:hAnsi="Arial"/>
                <w:color w:val="000000"/>
                <w:sz w:val="24"/>
                <w:szCs w:val="24"/>
                <w:rtl w:val="0"/>
              </w:rPr>
              <w:t xml:space="preserve">the Remedies Directive (2007/66/EC);</w:t>
            </w:r>
            <w:r w:rsidDel="00000000" w:rsidR="00000000" w:rsidRPr="00000000">
              <w:rPr>
                <w:rtl w:val="0"/>
              </w:rPr>
            </w:r>
          </w:p>
          <w:p w:rsidR="00000000" w:rsidDel="00000000" w:rsidP="00000000" w:rsidRDefault="00000000" w:rsidRPr="00000000" w14:paraId="0000010C">
            <w:pPr>
              <w:numPr>
                <w:ilvl w:val="1"/>
                <w:numId w:val="19"/>
              </w:numPr>
              <w:pBdr>
                <w:top w:space="0" w:sz="0" w:val="nil"/>
                <w:left w:space="0" w:sz="0" w:val="nil"/>
                <w:bottom w:space="0" w:sz="0" w:val="nil"/>
                <w:right w:space="0" w:sz="0" w:val="nil"/>
                <w:between w:space="0" w:sz="0" w:val="nil"/>
              </w:pBdr>
              <w:tabs>
                <w:tab w:val="left" w:pos="-179"/>
                <w:tab w:val="left" w:pos="762"/>
              </w:tabs>
              <w:spacing w:after="120" w:lineRule="auto"/>
              <w:ind w:left="762" w:hanging="342"/>
              <w:jc w:val="both"/>
              <w:rPr>
                <w:sz w:val="24"/>
                <w:szCs w:val="24"/>
              </w:rPr>
            </w:pPr>
            <w:r w:rsidDel="00000000" w:rsidR="00000000" w:rsidRPr="00000000">
              <w:rPr>
                <w:rFonts w:ascii="Arial" w:cs="Arial" w:eastAsia="Arial" w:hAnsi="Arial"/>
                <w:color w:val="000000"/>
                <w:sz w:val="24"/>
                <w:szCs w:val="24"/>
                <w:rtl w:val="0"/>
              </w:rPr>
              <w:t xml:space="preserve">Directive 2014/23/EU of the European Parliament and Council;</w:t>
            </w:r>
            <w:r w:rsidDel="00000000" w:rsidR="00000000" w:rsidRPr="00000000">
              <w:rPr>
                <w:rtl w:val="0"/>
              </w:rPr>
            </w:r>
          </w:p>
          <w:p w:rsidR="00000000" w:rsidDel="00000000" w:rsidP="00000000" w:rsidRDefault="00000000" w:rsidRPr="00000000" w14:paraId="0000010D">
            <w:pPr>
              <w:numPr>
                <w:ilvl w:val="1"/>
                <w:numId w:val="19"/>
              </w:numPr>
              <w:pBdr>
                <w:top w:space="0" w:sz="0" w:val="nil"/>
                <w:left w:space="0" w:sz="0" w:val="nil"/>
                <w:bottom w:space="0" w:sz="0" w:val="nil"/>
                <w:right w:space="0" w:sz="0" w:val="nil"/>
                <w:between w:space="0" w:sz="0" w:val="nil"/>
              </w:pBdr>
              <w:tabs>
                <w:tab w:val="left" w:pos="-179"/>
                <w:tab w:val="left" w:pos="762"/>
              </w:tabs>
              <w:spacing w:after="120" w:lineRule="auto"/>
              <w:ind w:left="762" w:hanging="342"/>
              <w:jc w:val="both"/>
              <w:rPr>
                <w:sz w:val="24"/>
                <w:szCs w:val="24"/>
              </w:rPr>
            </w:pPr>
            <w:r w:rsidDel="00000000" w:rsidR="00000000" w:rsidRPr="00000000">
              <w:rPr>
                <w:rFonts w:ascii="Arial" w:cs="Arial" w:eastAsia="Arial" w:hAnsi="Arial"/>
                <w:color w:val="000000"/>
                <w:sz w:val="24"/>
                <w:szCs w:val="24"/>
                <w:rtl w:val="0"/>
              </w:rPr>
              <w:t xml:space="preserve">Directive 2014/24/EU of the European Parliament and Council;</w:t>
            </w:r>
            <w:r w:rsidDel="00000000" w:rsidR="00000000" w:rsidRPr="00000000">
              <w:rPr>
                <w:rtl w:val="0"/>
              </w:rPr>
            </w:r>
          </w:p>
          <w:p w:rsidR="00000000" w:rsidDel="00000000" w:rsidP="00000000" w:rsidRDefault="00000000" w:rsidRPr="00000000" w14:paraId="0000010E">
            <w:pPr>
              <w:numPr>
                <w:ilvl w:val="1"/>
                <w:numId w:val="19"/>
              </w:numPr>
              <w:pBdr>
                <w:top w:space="0" w:sz="0" w:val="nil"/>
                <w:left w:space="0" w:sz="0" w:val="nil"/>
                <w:bottom w:space="0" w:sz="0" w:val="nil"/>
                <w:right w:space="0" w:sz="0" w:val="nil"/>
                <w:between w:space="0" w:sz="0" w:val="nil"/>
              </w:pBdr>
              <w:tabs>
                <w:tab w:val="left" w:pos="-179"/>
                <w:tab w:val="left" w:pos="845"/>
              </w:tabs>
              <w:spacing w:after="120" w:lineRule="auto"/>
              <w:ind w:left="762" w:hanging="342"/>
              <w:jc w:val="both"/>
              <w:rPr>
                <w:sz w:val="24"/>
                <w:szCs w:val="24"/>
              </w:rPr>
            </w:pPr>
            <w:r w:rsidDel="00000000" w:rsidR="00000000" w:rsidRPr="00000000">
              <w:rPr>
                <w:rFonts w:ascii="Arial" w:cs="Arial" w:eastAsia="Arial" w:hAnsi="Arial"/>
                <w:color w:val="000000"/>
                <w:sz w:val="24"/>
                <w:szCs w:val="24"/>
                <w:rtl w:val="0"/>
              </w:rPr>
              <w:t xml:space="preserve">Directive 2014/25/EU of the European Parliament and Council; or</w:t>
            </w:r>
            <w:r w:rsidDel="00000000" w:rsidR="00000000" w:rsidRPr="00000000">
              <w:rPr>
                <w:rtl w:val="0"/>
              </w:rPr>
            </w:r>
          </w:p>
          <w:p w:rsidR="00000000" w:rsidDel="00000000" w:rsidP="00000000" w:rsidRDefault="00000000" w:rsidRPr="00000000" w14:paraId="0000010F">
            <w:pPr>
              <w:numPr>
                <w:ilvl w:val="1"/>
                <w:numId w:val="19"/>
              </w:numPr>
              <w:pBdr>
                <w:top w:space="0" w:sz="0" w:val="nil"/>
                <w:left w:space="0" w:sz="0" w:val="nil"/>
                <w:bottom w:space="0" w:sz="0" w:val="nil"/>
                <w:right w:space="0" w:sz="0" w:val="nil"/>
                <w:between w:space="0" w:sz="0" w:val="nil"/>
              </w:pBdr>
              <w:tabs>
                <w:tab w:val="left" w:pos="-179"/>
                <w:tab w:val="left" w:pos="762"/>
              </w:tabs>
              <w:spacing w:after="120" w:lineRule="auto"/>
              <w:ind w:left="762" w:hanging="34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Directive 2009/81/EC of the European Parliament and Council;</w:t>
            </w:r>
          </w:p>
        </w:tc>
      </w:tr>
      <w:tr>
        <w:trPr>
          <w:cantSplit w:val="0"/>
          <w:trHeight w:val="1484"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Call-off Contract</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1">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rHeight w:val="1484"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Procurement Amendments</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3">
            <w:pPr>
              <w:pBdr>
                <w:top w:space="0" w:sz="0" w:val="nil"/>
                <w:left w:space="0" w:sz="0" w:val="nil"/>
                <w:bottom w:space="0" w:sz="0" w:val="nil"/>
                <w:right w:space="0" w:sz="0" w:val="nil"/>
                <w:between w:space="0" w:sz="0" w:val="nil"/>
              </w:pBdr>
              <w:spacing w:after="200" w:line="276"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r>
        <w:trPr>
          <w:cantSplit w:val="0"/>
          <w:trHeight w:val="84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Expenses Policy”</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15">
            <w:pPr>
              <w:pBdr>
                <w:top w:space="0" w:sz="0" w:val="nil"/>
                <w:left w:space="0" w:sz="0" w:val="nil"/>
                <w:bottom w:space="0" w:sz="0" w:val="nil"/>
                <w:right w:space="0" w:sz="0" w:val="nil"/>
                <w:between w:space="0" w:sz="0" w:val="nil"/>
              </w:pBdr>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expenses policy as set out in Annex 1 of Call-Off Schedule 5 (Pricing Details and Expenses Policy);</w:t>
            </w:r>
          </w:p>
        </w:tc>
      </w:tr>
    </w:tbl>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3"/>
        <w:tblW w:w="10440.0" w:type="dxa"/>
        <w:jc w:val="left"/>
        <w:tblInd w:w="-38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05"/>
        <w:gridCol w:w="7935"/>
        <w:tblGridChange w:id="0">
          <w:tblGrid>
            <w:gridCol w:w="2505"/>
            <w:gridCol w:w="7935"/>
          </w:tblGrid>
        </w:tblGridChange>
      </w:tblGrid>
      <w:tr>
        <w:trPr>
          <w:cantSplit w:val="0"/>
          <w:tblHeader w:val="0"/>
        </w:trPr>
        <w:tc>
          <w:tcPr/>
          <w:p w:rsidR="00000000" w:rsidDel="00000000" w:rsidP="00000000" w:rsidRDefault="00000000" w:rsidRPr="00000000" w14:paraId="0000011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 and shall include, in the case of CCS, the website domain names </w:t>
            </w:r>
            <w:hyperlink r:id="rId7">
              <w:r w:rsidDel="00000000" w:rsidR="00000000" w:rsidRPr="00000000">
                <w:rPr>
                  <w:rFonts w:ascii="Arial" w:cs="Arial" w:eastAsia="Arial" w:hAnsi="Arial"/>
                  <w:color w:val="0000ff"/>
                  <w:sz w:val="24"/>
                  <w:szCs w:val="24"/>
                  <w:u w:val="single"/>
                  <w:rtl w:val="0"/>
                </w:rPr>
                <w:t xml:space="preserve">www.crowncommercial.gov.uk</w:t>
              </w:r>
            </w:hyperlink>
            <w:r w:rsidDel="00000000" w:rsidR="00000000" w:rsidRPr="00000000">
              <w:rPr>
                <w:rFonts w:ascii="Arial" w:cs="Arial" w:eastAsia="Arial" w:hAnsi="Arial"/>
                <w:color w:val="000000"/>
                <w:sz w:val="24"/>
                <w:szCs w:val="24"/>
                <w:rtl w:val="0"/>
              </w:rPr>
              <w:t xml:space="preserve"> and </w:t>
            </w:r>
            <w:hyperlink r:id="rId8">
              <w:r w:rsidDel="00000000" w:rsidR="00000000" w:rsidRPr="00000000">
                <w:rPr>
                  <w:rFonts w:ascii="Arial" w:cs="Arial" w:eastAsia="Arial" w:hAnsi="Arial"/>
                  <w:color w:val="1155cc"/>
                  <w:sz w:val="24"/>
                  <w:szCs w:val="24"/>
                  <w:u w:val="single"/>
                  <w:rtl w:val="0"/>
                </w:rPr>
                <w:t xml:space="preserve">https://crowncommercialservice.bravosolution.co.uk</w:t>
              </w:r>
            </w:hyperlink>
            <w:r w:rsidDel="00000000" w:rsidR="00000000" w:rsidRPr="00000000">
              <w:rPr>
                <w:rFonts w:ascii="Arial" w:cs="Arial" w:eastAsia="Arial" w:hAnsi="Arial"/>
                <w:color w:val="0000ff"/>
                <w:sz w:val="24"/>
                <w:szCs w:val="24"/>
                <w:rtl w:val="0"/>
              </w:rPr>
              <w:t xml:space="preserve">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egarding the Platform;</w:t>
            </w:r>
          </w:p>
        </w:tc>
      </w:tr>
      <w:tr>
        <w:trPr>
          <w:cantSplit w:val="0"/>
          <w:tblHeader w:val="0"/>
        </w:trPr>
        <w:tc>
          <w:tcPr/>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1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“Expression of Interest” or “EOI”</w:t>
            </w:r>
          </w:p>
        </w:tc>
        <w:tc>
          <w:tcPr/>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invitation to capable Suppliers to express an interest in bidding for the work as part of a Further Competition Procedure or to decline the opportunity prior to the Further Competition Procedure commencing.  Suppliers who decline an Expression of Interest invitation will not be invited to take part in the corresponding Further Competition Procedure unless the scope or timings of this have substantially changed from the point the Expression of Interest was issued;</w:t>
            </w:r>
          </w:p>
        </w:tc>
      </w:tr>
      <w:tr>
        <w:trPr>
          <w:cantSplit w:val="0"/>
          <w:tblHeader w:val="0"/>
        </w:trPr>
        <w:tc>
          <w:tcPr/>
          <w:p w:rsidR="00000000" w:rsidDel="00000000" w:rsidP="00000000" w:rsidRDefault="00000000" w:rsidRPr="00000000" w14:paraId="0000011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2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“Fixed Price”</w:t>
            </w:r>
          </w:p>
        </w:tc>
        <w:tc>
          <w:tcPr/>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Pricing Mechanism where Charges are agreed at a set amount in relation to a Contract, Deliverable(s) (or one or more element of the Deliverable(s)) or Milestones, no matter how much work is required to complete each Contract, Deliverable(s) (or one or more element of the Deliverable(s)) or Milestones, within the agreed scope, and the total amount to be paid by the Buyer will not exceed the agreed fixed price;</w:t>
            </w:r>
          </w:p>
        </w:tc>
      </w:tr>
      <w:tr>
        <w:trPr>
          <w:cantSplit w:val="0"/>
          <w:tblHeader w:val="0"/>
        </w:trPr>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27">
            <w:pPr>
              <w:numPr>
                <w:ilvl w:val="1"/>
                <w:numId w:val="15"/>
              </w:numPr>
              <w:pBdr>
                <w:top w:space="0" w:sz="0" w:val="nil"/>
                <w:left w:space="0" w:sz="0" w:val="nil"/>
                <w:bottom w:space="0" w:sz="0" w:val="nil"/>
                <w:right w:space="0" w:sz="0" w:val="nil"/>
                <w:between w:space="0" w:sz="0" w:val="nil"/>
              </w:pBdr>
              <w:tabs>
                <w:tab w:val="left" w:pos="-576"/>
                <w:tab w:val="left" w:pos="424"/>
              </w:tabs>
              <w:spacing w:after="120" w:lineRule="auto"/>
              <w:ind w:left="424" w:hanging="42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28">
            <w:pPr>
              <w:numPr>
                <w:ilvl w:val="1"/>
                <w:numId w:val="15"/>
              </w:numPr>
              <w:pBdr>
                <w:top w:space="0" w:sz="0" w:val="nil"/>
                <w:left w:space="0" w:sz="0" w:val="nil"/>
                <w:bottom w:space="0" w:sz="0" w:val="nil"/>
                <w:right w:space="0" w:sz="0" w:val="nil"/>
                <w:between w:space="0" w:sz="0" w:val="nil"/>
              </w:pBdr>
              <w:tabs>
                <w:tab w:val="left" w:pos="-576"/>
                <w:tab w:val="left" w:pos="424"/>
              </w:tabs>
              <w:spacing w:after="120" w:lineRule="auto"/>
              <w:ind w:left="424" w:hanging="42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29">
            <w:pPr>
              <w:numPr>
                <w:ilvl w:val="1"/>
                <w:numId w:val="15"/>
              </w:numPr>
              <w:pBdr>
                <w:top w:space="0" w:sz="0" w:val="nil"/>
                <w:left w:space="0" w:sz="0" w:val="nil"/>
                <w:bottom w:space="0" w:sz="0" w:val="nil"/>
                <w:right w:space="0" w:sz="0" w:val="nil"/>
                <w:between w:space="0" w:sz="0" w:val="nil"/>
              </w:pBdr>
              <w:tabs>
                <w:tab w:val="left" w:pos="-576"/>
                <w:tab w:val="left" w:pos="424"/>
              </w:tabs>
              <w:spacing w:after="120" w:lineRule="auto"/>
              <w:ind w:left="424" w:hanging="42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2A">
            <w:pPr>
              <w:numPr>
                <w:ilvl w:val="1"/>
                <w:numId w:val="15"/>
              </w:numPr>
              <w:pBdr>
                <w:top w:space="0" w:sz="0" w:val="nil"/>
                <w:left w:space="0" w:sz="0" w:val="nil"/>
                <w:bottom w:space="0" w:sz="0" w:val="nil"/>
                <w:right w:space="0" w:sz="0" w:val="nil"/>
                <w:between w:space="0" w:sz="0" w:val="nil"/>
              </w:pBdr>
              <w:tabs>
                <w:tab w:val="left" w:pos="-576"/>
                <w:tab w:val="left" w:pos="424"/>
              </w:tabs>
              <w:spacing w:after="120" w:lineRule="auto"/>
              <w:ind w:left="424" w:hanging="42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2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2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3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established between CCS and the Supplier under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3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3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3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3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3A">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3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3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bookmarkStart w:colFirst="0" w:colLast="0" w:name="_heading=h.2et92p0" w:id="3"/>
            <w:bookmarkEnd w:id="3"/>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45">
            <w:pPr>
              <w:numPr>
                <w:ilvl w:val="1"/>
                <w:numId w:val="29"/>
              </w:numPr>
              <w:pBdr>
                <w:top w:space="0" w:sz="0" w:val="nil"/>
                <w:left w:space="0" w:sz="0" w:val="nil"/>
                <w:bottom w:space="0" w:sz="0" w:val="nil"/>
                <w:right w:space="0" w:sz="0" w:val="nil"/>
                <w:between w:space="0" w:sz="0" w:val="nil"/>
              </w:pBdr>
              <w:tabs>
                <w:tab w:val="left" w:pos="-576"/>
                <w:tab w:val="left" w:pos="861"/>
              </w:tabs>
              <w:spacing w:after="120" w:lineRule="auto"/>
              <w:ind w:left="707" w:hanging="53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w:t>
            </w:r>
          </w:p>
          <w:p w:rsidR="00000000" w:rsidDel="00000000" w:rsidP="00000000" w:rsidRDefault="00000000" w:rsidRPr="00000000" w14:paraId="00000146">
            <w:pPr>
              <w:numPr>
                <w:ilvl w:val="1"/>
                <w:numId w:val="29"/>
              </w:numPr>
              <w:pBdr>
                <w:top w:space="0" w:sz="0" w:val="nil"/>
                <w:left w:space="0" w:sz="0" w:val="nil"/>
                <w:bottom w:space="0" w:sz="0" w:val="nil"/>
                <w:right w:space="0" w:sz="0" w:val="nil"/>
                <w:between w:space="0" w:sz="0" w:val="nil"/>
              </w:pBdr>
              <w:tabs>
                <w:tab w:val="left" w:pos="-576"/>
                <w:tab w:val="left" w:pos="861"/>
              </w:tabs>
              <w:spacing w:after="120" w:lineRule="auto"/>
              <w:ind w:left="707" w:hanging="53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4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4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4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51">
            <w:pPr>
              <w:numPr>
                <w:ilvl w:val="2"/>
                <w:numId w:val="15"/>
              </w:numPr>
              <w:pBdr>
                <w:top w:space="0" w:sz="0" w:val="nil"/>
                <w:left w:space="0" w:sz="0" w:val="nil"/>
                <w:bottom w:space="0" w:sz="0" w:val="nil"/>
                <w:right w:space="0" w:sz="0" w:val="nil"/>
                <w:between w:space="0" w:sz="0" w:val="nil"/>
              </w:pBdr>
              <w:tabs>
                <w:tab w:val="left" w:pos="-576"/>
                <w:tab w:val="left" w:pos="424"/>
              </w:tabs>
              <w:spacing w:after="120" w:lineRule="auto"/>
              <w:ind w:left="424" w:hanging="42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52">
            <w:pPr>
              <w:numPr>
                <w:ilvl w:val="2"/>
                <w:numId w:val="15"/>
              </w:numPr>
              <w:pBdr>
                <w:top w:space="0" w:sz="0" w:val="nil"/>
                <w:left w:space="0" w:sz="0" w:val="nil"/>
                <w:bottom w:space="0" w:sz="0" w:val="nil"/>
                <w:right w:space="0" w:sz="0" w:val="nil"/>
                <w:between w:space="0" w:sz="0" w:val="nil"/>
              </w:pBdr>
              <w:tabs>
                <w:tab w:val="left" w:pos="-576"/>
                <w:tab w:val="left" w:pos="424"/>
              </w:tabs>
              <w:spacing w:after="120" w:lineRule="auto"/>
              <w:ind w:left="424" w:hanging="42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p w:rsidR="00000000" w:rsidDel="00000000" w:rsidP="00000000" w:rsidRDefault="00000000" w:rsidRPr="00000000" w14:paraId="00000153">
            <w:pPr>
              <w:numPr>
                <w:ilvl w:val="2"/>
                <w:numId w:val="15"/>
              </w:numPr>
              <w:pBdr>
                <w:top w:space="0" w:sz="0" w:val="nil"/>
                <w:left w:space="0" w:sz="0" w:val="nil"/>
                <w:bottom w:space="0" w:sz="0" w:val="nil"/>
                <w:right w:space="0" w:sz="0" w:val="nil"/>
                <w:between w:space="0" w:sz="0" w:val="nil"/>
              </w:pBdr>
              <w:tabs>
                <w:tab w:val="left" w:pos="-576"/>
                <w:tab w:val="left" w:pos="424"/>
              </w:tabs>
              <w:spacing w:after="120" w:lineRule="auto"/>
              <w:ind w:left="424" w:hanging="42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Personal Data for which CCS or the Buyer is the Controller; </w:t>
            </w:r>
          </w:p>
          <w:p w:rsidR="00000000" w:rsidDel="00000000" w:rsidP="00000000" w:rsidRDefault="00000000" w:rsidRPr="00000000" w14:paraId="00000154">
            <w:pPr>
              <w:numPr>
                <w:ilvl w:val="2"/>
                <w:numId w:val="15"/>
              </w:numPr>
              <w:pBdr>
                <w:top w:space="0" w:sz="0" w:val="nil"/>
                <w:left w:space="0" w:sz="0" w:val="nil"/>
                <w:bottom w:space="0" w:sz="0" w:val="nil"/>
                <w:right w:space="0" w:sz="0" w:val="nil"/>
                <w:between w:space="0" w:sz="0" w:val="nil"/>
              </w:pBdr>
              <w:tabs>
                <w:tab w:val="left" w:pos="-576"/>
                <w:tab w:val="left" w:pos="424"/>
              </w:tabs>
              <w:spacing w:after="120" w:lineRule="auto"/>
              <w:ind w:left="424" w:hanging="42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Buyer Registration Process data submitted by Buyers into the Platform, including the full auditable history of any and all transactions and procedures conducted via the Platform;</w:t>
            </w:r>
          </w:p>
        </w:tc>
      </w:tr>
      <w:tr>
        <w:trPr>
          <w:cantSplit w:val="0"/>
          <w:tblHeader w:val="0"/>
        </w:trPr>
        <w:tc>
          <w:tcPr/>
          <w:p w:rsidR="00000000" w:rsidDel="00000000" w:rsidP="00000000" w:rsidRDefault="00000000" w:rsidRPr="00000000" w14:paraId="0000015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Legal Department” or “GLD”</w:t>
            </w:r>
          </w:p>
        </w:tc>
        <w:tc>
          <w:tcPr/>
          <w:p w:rsidR="00000000" w:rsidDel="00000000" w:rsidP="00000000" w:rsidRDefault="00000000" w:rsidRPr="00000000" w14:paraId="00000156">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a non-ministerial Government department which the Treasury Solicitor is in charge of;</w:t>
            </w:r>
          </w:p>
        </w:tc>
      </w:tr>
      <w:tr>
        <w:trPr>
          <w:cantSplit w:val="0"/>
          <w:tblHeader w:val="0"/>
        </w:trPr>
        <w:tc>
          <w:tcPr/>
          <w:p w:rsidR="00000000" w:rsidDel="00000000" w:rsidP="00000000" w:rsidRDefault="00000000" w:rsidRPr="00000000" w14:paraId="0000015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of Economic Operators”</w:t>
            </w:r>
          </w:p>
        </w:tc>
        <w:tc>
          <w:tcPr/>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group of economic operators acting jointly and severally to provide the Deliverables, which shall include a consortium;</w:t>
            </w:r>
          </w:p>
        </w:tc>
      </w:tr>
      <w:tr>
        <w:trPr>
          <w:cantSplit w:val="0"/>
          <w:tblHeader w:val="0"/>
        </w:trPr>
        <w:tc>
          <w:tcPr/>
          <w:p w:rsidR="00000000" w:rsidDel="00000000" w:rsidP="00000000" w:rsidRDefault="00000000" w:rsidRPr="00000000" w14:paraId="00000159">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5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5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“Hourly Rate”</w:t>
            </w:r>
          </w:p>
        </w:tc>
        <w:tc>
          <w:tcPr/>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Pricing Mechanism where the Supplier will invoice the Buyer for the work undertaken by Supplier Staff providing the Deliverables (or one or more elements of the Deliverables) under the Contact based on each Work Hour performed by the Supplier Staff where the applicable rates for each Supplier Staff grade is set out in Annex 1 Table 1 of Framework Schedule 3 (Framework Pricing);</w:t>
            </w:r>
          </w:p>
        </w:tc>
      </w:tr>
      <w:tr>
        <w:trPr>
          <w:cantSplit w:val="0"/>
          <w:tblHeader w:val="0"/>
        </w:trPr>
        <w:tc>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and any Platform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65">
            <w:pPr>
              <w:numPr>
                <w:ilvl w:val="1"/>
                <w:numId w:val="28"/>
              </w:numPr>
              <w:pBdr>
                <w:top w:space="0" w:sz="0" w:val="nil"/>
                <w:left w:space="0" w:sz="0" w:val="nil"/>
                <w:bottom w:space="0" w:sz="0" w:val="nil"/>
                <w:right w:space="0" w:sz="0" w:val="nil"/>
                <w:between w:space="0" w:sz="0" w:val="nil"/>
              </w:pBdr>
              <w:tabs>
                <w:tab w:val="left" w:pos="-576"/>
                <w:tab w:val="left" w:pos="435"/>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66">
            <w:pPr>
              <w:numPr>
                <w:ilvl w:val="1"/>
                <w:numId w:val="28"/>
              </w:numPr>
              <w:pBdr>
                <w:top w:space="0" w:sz="0" w:val="nil"/>
                <w:left w:space="0" w:sz="0" w:val="nil"/>
                <w:bottom w:space="0" w:sz="0" w:val="nil"/>
                <w:right w:space="0" w:sz="0" w:val="nil"/>
                <w:between w:space="0" w:sz="0" w:val="nil"/>
              </w:pBdr>
              <w:tabs>
                <w:tab w:val="left" w:pos="-576"/>
                <w:tab w:val="left" w:pos="435"/>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67">
            <w:pPr>
              <w:numPr>
                <w:ilvl w:val="1"/>
                <w:numId w:val="28"/>
              </w:numPr>
              <w:pBdr>
                <w:top w:space="0" w:sz="0" w:val="nil"/>
                <w:left w:space="0" w:sz="0" w:val="nil"/>
                <w:bottom w:space="0" w:sz="0" w:val="nil"/>
                <w:right w:space="0" w:sz="0" w:val="nil"/>
                <w:between w:space="0" w:sz="0" w:val="nil"/>
              </w:pBdr>
              <w:tabs>
                <w:tab w:val="left" w:pos="-576"/>
                <w:tab w:val="left" w:pos="435"/>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68">
            <w:pPr>
              <w:numPr>
                <w:ilvl w:val="1"/>
                <w:numId w:val="28"/>
              </w:numPr>
              <w:pBdr>
                <w:top w:space="0" w:sz="0" w:val="nil"/>
                <w:left w:space="0" w:sz="0" w:val="nil"/>
                <w:bottom w:space="0" w:sz="0" w:val="nil"/>
                <w:right w:space="0" w:sz="0" w:val="nil"/>
                <w:between w:space="0" w:sz="0" w:val="nil"/>
              </w:pBdr>
              <w:tabs>
                <w:tab w:val="left" w:pos="-576"/>
                <w:tab w:val="left" w:pos="435"/>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69">
            <w:pPr>
              <w:numPr>
                <w:ilvl w:val="1"/>
                <w:numId w:val="28"/>
              </w:numPr>
              <w:pBdr>
                <w:top w:space="0" w:sz="0" w:val="nil"/>
                <w:left w:space="0" w:sz="0" w:val="nil"/>
                <w:bottom w:space="0" w:sz="0" w:val="nil"/>
                <w:right w:space="0" w:sz="0" w:val="nil"/>
                <w:between w:space="0" w:sz="0" w:val="nil"/>
              </w:pBdr>
              <w:tabs>
                <w:tab w:val="left" w:pos="-576"/>
                <w:tab w:val="left" w:pos="144"/>
              </w:tabs>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6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6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7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7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7A">
            <w:pPr>
              <w:pBdr>
                <w:top w:space="0" w:sz="0" w:val="nil"/>
                <w:left w:space="0" w:sz="0" w:val="nil"/>
                <w:bottom w:space="0" w:sz="0" w:val="nil"/>
                <w:right w:space="0" w:sz="0" w:val="nil"/>
                <w:between w:space="0" w:sz="0" w:val="nil"/>
              </w:pBdr>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7B">
            <w:pPr>
              <w:pBdr>
                <w:top w:space="0" w:sz="0" w:val="nil"/>
                <w:left w:space="0" w:sz="0" w:val="nil"/>
                <w:bottom w:space="0" w:sz="0" w:val="nil"/>
                <w:right w:space="0" w:sz="0" w:val="nil"/>
                <w:between w:space="0" w:sz="0" w:val="nil"/>
              </w:pBdr>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pos="294"/>
              </w:tabs>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80">
            <w:pPr>
              <w:pBdr>
                <w:top w:space="0" w:sz="0" w:val="nil"/>
                <w:left w:space="0" w:sz="0" w:val="nil"/>
                <w:bottom w:space="0" w:sz="0" w:val="nil"/>
                <w:right w:space="0" w:sz="0" w:val="nil"/>
                <w:between w:space="0" w:sz="0" w:val="nil"/>
              </w:pBdr>
              <w:tabs>
                <w:tab w:val="left" w:pos="-179"/>
                <w:tab w:val="left" w:pos="294"/>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pos="-179"/>
                <w:tab w:val="left" w:pos="294"/>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an LLP or a partnership:</w:t>
            </w:r>
          </w:p>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pos="-179"/>
                <w:tab w:val="left" w:pos="294"/>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pos="-179"/>
                <w:tab w:val="left" w:pos="294"/>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left" w:pos="-179"/>
                <w:tab w:val="left" w:pos="294"/>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an LLP) the holder of a qualifying floating charge over the assets of that person has become entitled to appoint or has appointed an administrative receiver; or</w:t>
            </w:r>
          </w:p>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pos="-179"/>
                <w:tab w:val="left" w:pos="294"/>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left" w:pos="-179"/>
                <w:tab w:val="left" w:pos="294"/>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87">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8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8A">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8B">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8C">
            <w:pPr>
              <w:numPr>
                <w:ilvl w:val="1"/>
                <w:numId w:val="6"/>
              </w:numPr>
              <w:pBdr>
                <w:top w:space="0" w:sz="0" w:val="nil"/>
                <w:left w:space="0" w:sz="0" w:val="nil"/>
                <w:bottom w:space="0" w:sz="0" w:val="nil"/>
                <w:right w:space="0" w:sz="0" w:val="nil"/>
                <w:between w:space="0" w:sz="0" w:val="nil"/>
              </w:pBdr>
              <w:tabs>
                <w:tab w:val="left" w:pos="-576"/>
                <w:tab w:val="left" w:pos="144"/>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8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“Inward </w:t>
            </w:r>
            <w:r w:rsidDel="00000000" w:rsidR="00000000" w:rsidRPr="00000000">
              <w:rPr>
                <w:rFonts w:ascii="Arial" w:cs="Arial" w:eastAsia="Arial" w:hAnsi="Arial"/>
                <w:b w:val="1"/>
                <w:sz w:val="24"/>
                <w:szCs w:val="24"/>
                <w:rtl w:val="0"/>
              </w:rPr>
              <w:t xml:space="preserve">Secondment</w:t>
            </w:r>
            <w:r w:rsidDel="00000000" w:rsidR="00000000" w:rsidRPr="00000000">
              <w:rPr>
                <w:rFonts w:ascii="Arial" w:cs="Arial" w:eastAsia="Arial" w:hAnsi="Arial"/>
                <w:b w:val="1"/>
                <w:color w:val="000000"/>
                <w:sz w:val="24"/>
                <w:szCs w:val="24"/>
                <w:rtl w:val="0"/>
              </w:rPr>
              <w:t xml:space="preserve">”</w:t>
            </w:r>
          </w:p>
        </w:tc>
        <w:tc>
          <w:tcPr/>
          <w:p w:rsidR="00000000" w:rsidDel="00000000" w:rsidP="00000000" w:rsidRDefault="00000000" w:rsidRPr="00000000" w14:paraId="0000019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color w:val="000000"/>
                <w:sz w:val="24"/>
                <w:szCs w:val="24"/>
                <w:rtl w:val="0"/>
              </w:rPr>
              <w:t xml:space="preserve">n exchange of Buyer Personnel from the Buyer to the Supplier in accordance with the Secondment Agreement;</w:t>
            </w:r>
          </w:p>
        </w:tc>
      </w:tr>
      <w:tr>
        <w:trPr>
          <w:cantSplit w:val="0"/>
          <w:tblHeader w:val="0"/>
        </w:trPr>
        <w:tc>
          <w:tcPr/>
          <w:p w:rsidR="00000000" w:rsidDel="00000000" w:rsidP="00000000" w:rsidRDefault="00000000" w:rsidRPr="00000000" w14:paraId="0000019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92">
            <w:pPr>
              <w:tabs>
                <w:tab w:val="left" w:pos="-179"/>
                <w:tab w:val="left" w:pos="-9"/>
              </w:tabs>
              <w:rPr>
                <w:rFonts w:ascii="Arial" w:cs="Arial" w:eastAsia="Arial" w:hAnsi="Arial"/>
                <w:sz w:val="24"/>
                <w:szCs w:val="24"/>
              </w:rPr>
            </w:pPr>
            <w:r w:rsidDel="00000000" w:rsidR="00000000" w:rsidRPr="00000000">
              <w:rPr>
                <w:rFonts w:ascii="Arial" w:cs="Arial" w:eastAsia="Arial" w:hAnsi="Arial"/>
                <w:sz w:val="24"/>
                <w:szCs w:val="24"/>
                <w:rtl w:val="0"/>
              </w:rPr>
              <w:t xml:space="preserve">any action, suit, claim, demand, Loss or other liability which the Relevant Authority or Central Government Body may suffer or incur as a result of any claim that the performance of the Deliverables infringes or allegedly infringes (including the defence of such infringement or alleged infringement or passing off) of any third party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9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9">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9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9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9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9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9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9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9F">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A0">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A1">
            <w:pPr>
              <w:numPr>
                <w:ilvl w:val="1"/>
                <w:numId w:val="5"/>
              </w:numPr>
              <w:pBdr>
                <w:top w:space="0" w:sz="0" w:val="nil"/>
                <w:left w:space="0" w:sz="0" w:val="nil"/>
                <w:bottom w:space="0" w:sz="0" w:val="nil"/>
                <w:right w:space="0" w:sz="0" w:val="nil"/>
                <w:between w:space="0" w:sz="0" w:val="nil"/>
              </w:pBdr>
              <w:tabs>
                <w:tab w:val="left" w:pos="-576"/>
                <w:tab w:val="left" w:pos="144"/>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A2">
            <w:pPr>
              <w:pBdr>
                <w:top w:space="0" w:sz="0" w:val="nil"/>
                <w:left w:space="0" w:sz="0" w:val="nil"/>
                <w:bottom w:space="0" w:sz="0" w:val="nil"/>
                <w:right w:space="0" w:sz="0" w:val="nil"/>
                <w:between w:space="0" w:sz="0" w:val="nil"/>
              </w:pBdr>
              <w:tabs>
                <w:tab w:val="left" w:pos="-576"/>
                <w:tab w:val="left" w:pos="144"/>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A3">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A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A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color w:val="000000"/>
                <w:sz w:val="24"/>
                <w:szCs w:val="24"/>
                <w:rtl w:val="0"/>
              </w:rPr>
              <w:t xml:space="preserve">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“Location”</w:t>
            </w:r>
          </w:p>
        </w:tc>
        <w:tc>
          <w:tcPr/>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place at or from which the Supplier’s team will perform the Deliverables, in whole or part, under the Call-Off Contract;</w:t>
            </w:r>
          </w:p>
        </w:tc>
      </w:tr>
      <w:tr>
        <w:trPr>
          <w:cantSplit w:val="0"/>
          <w:tblHeader w:val="0"/>
        </w:trPr>
        <w:tc>
          <w:tcPr/>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and professional fees), disbursements, costs of investigation, litigation, settlement, </w:t>
            </w:r>
            <w:r w:rsidDel="00000000" w:rsidR="00000000" w:rsidRPr="00000000">
              <w:rPr>
                <w:rFonts w:ascii="Arial" w:cs="Arial" w:eastAsia="Arial" w:hAnsi="Arial"/>
                <w:sz w:val="24"/>
                <w:szCs w:val="24"/>
                <w:rtl w:val="0"/>
              </w:rPr>
              <w:t xml:space="preserve">judgement</w:t>
            </w:r>
            <w:r w:rsidDel="00000000" w:rsidR="00000000" w:rsidRPr="00000000">
              <w:rPr>
                <w:rFonts w:ascii="Arial" w:cs="Arial" w:eastAsia="Arial" w:hAnsi="Arial"/>
                <w:color w:val="000000"/>
                <w:sz w:val="24"/>
                <w:szCs w:val="24"/>
                <w:rtl w:val="0"/>
              </w:rPr>
              <w:t xml:space="preserve">, interest, fines and penalties (including regulatory penalties, fines and expenses)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pos="-179"/>
                <w:tab w:val="left" w:pos="175"/>
              </w:tabs>
              <w:spacing w:after="120" w:lineRule="auto"/>
              <w:ind w:right="18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left" w:pos="-179"/>
                <w:tab w:val="left" w:pos="-9"/>
              </w:tabs>
              <w:spacing w:after="120" w:lineRule="auto"/>
              <w:ind w:right="18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pos="-179"/>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pos="-179"/>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B5">
            <w:pPr>
              <w:numPr>
                <w:ilvl w:val="1"/>
                <w:numId w:val="12"/>
              </w:numPr>
              <w:pBdr>
                <w:top w:space="0" w:sz="0" w:val="nil"/>
                <w:left w:space="0" w:sz="0" w:val="nil"/>
                <w:bottom w:space="0" w:sz="0" w:val="nil"/>
                <w:right w:space="0" w:sz="0" w:val="nil"/>
                <w:between w:space="0" w:sz="0" w:val="nil"/>
              </w:pBdr>
              <w:tabs>
                <w:tab w:val="left" w:pos="-576"/>
                <w:tab w:val="left" w:pos="175"/>
              </w:tabs>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B6">
            <w:pPr>
              <w:numPr>
                <w:ilvl w:val="1"/>
                <w:numId w:val="12"/>
              </w:numPr>
              <w:pBdr>
                <w:top w:space="0" w:sz="0" w:val="nil"/>
                <w:left w:space="0" w:sz="0" w:val="nil"/>
                <w:bottom w:space="0" w:sz="0" w:val="nil"/>
                <w:right w:space="0" w:sz="0" w:val="nil"/>
                <w:between w:space="0" w:sz="0" w:val="nil"/>
              </w:pBdr>
              <w:tabs>
                <w:tab w:val="left" w:pos="-576"/>
                <w:tab w:val="left" w:pos="175"/>
              </w:tabs>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B7">
            <w:pPr>
              <w:numPr>
                <w:ilvl w:val="1"/>
                <w:numId w:val="12"/>
              </w:numPr>
              <w:pBdr>
                <w:top w:space="0" w:sz="0" w:val="nil"/>
                <w:left w:space="0" w:sz="0" w:val="nil"/>
                <w:bottom w:space="0" w:sz="0" w:val="nil"/>
                <w:right w:space="0" w:sz="0" w:val="nil"/>
                <w:between w:space="0" w:sz="0" w:val="nil"/>
              </w:pBdr>
              <w:tabs>
                <w:tab w:val="left" w:pos="-576"/>
                <w:tab w:val="left" w:pos="175"/>
              </w:tabs>
              <w:spacing w:after="120" w:lineRule="auto"/>
              <w:ind w:left="294" w:hanging="29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B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B9">
            <w:pPr>
              <w:pBdr>
                <w:top w:space="0" w:sz="0" w:val="nil"/>
                <w:left w:space="0" w:sz="0" w:val="nil"/>
                <w:bottom w:space="0" w:sz="0" w:val="nil"/>
                <w:right w:space="0" w:sz="0" w:val="nil"/>
                <w:between w:space="0" w:sz="0" w:val="nil"/>
              </w:pBdr>
              <w:tabs>
                <w:tab w:val="left" w:pos="-179"/>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B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BB">
            <w:pPr>
              <w:pBdr>
                <w:top w:space="0" w:sz="0" w:val="nil"/>
                <w:left w:space="0" w:sz="0" w:val="nil"/>
                <w:bottom w:space="0" w:sz="0" w:val="nil"/>
                <w:right w:space="0" w:sz="0" w:val="nil"/>
                <w:between w:space="0" w:sz="0" w:val="nil"/>
              </w:pBdr>
              <w:tabs>
                <w:tab w:val="left" w:pos="-179"/>
                <w:tab w:val="left"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B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B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B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B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“Misconduct”</w:t>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[7.2] of Framework Schedule 7 (Call-Off Award Procedure);</w:t>
            </w:r>
          </w:p>
        </w:tc>
      </w:tr>
      <w:tr>
        <w:trPr>
          <w:cantSplit w:val="0"/>
          <w:tblHeader w:val="0"/>
        </w:trPr>
        <w:tc>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C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“Monthly Rate”</w:t>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Supplier Staff have completed twenty (20) Work Days of work for the Buyer in any given Month (or any thirty (30) consecutive day period), the Supplier’s monthly rate shall apply irrespective of how many further hours Supplier Staff of work are completed in that period;</w:t>
            </w:r>
          </w:p>
        </w:tc>
      </w:tr>
      <w:tr>
        <w:trPr>
          <w:cantSplit w:val="0"/>
          <w:tblHeader w:val="0"/>
        </w:trPr>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C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C9">
            <w:pPr>
              <w:numPr>
                <w:ilvl w:val="1"/>
                <w:numId w:val="26"/>
              </w:numPr>
              <w:pBdr>
                <w:top w:space="0" w:sz="0" w:val="nil"/>
                <w:left w:space="0" w:sz="0" w:val="nil"/>
                <w:bottom w:space="0" w:sz="0" w:val="nil"/>
                <w:right w:space="0" w:sz="0" w:val="nil"/>
                <w:between w:space="0" w:sz="0" w:val="nil"/>
              </w:pBdr>
              <w:tabs>
                <w:tab w:val="left" w:pos="-576"/>
                <w:tab w:val="left" w:pos="435"/>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CA">
            <w:pPr>
              <w:numPr>
                <w:ilvl w:val="1"/>
                <w:numId w:val="26"/>
              </w:numPr>
              <w:pBdr>
                <w:top w:space="0" w:sz="0" w:val="nil"/>
                <w:left w:space="0" w:sz="0" w:val="nil"/>
                <w:bottom w:space="0" w:sz="0" w:val="nil"/>
                <w:right w:space="0" w:sz="0" w:val="nil"/>
                <w:between w:space="0" w:sz="0" w:val="nil"/>
              </w:pBdr>
              <w:tabs>
                <w:tab w:val="left" w:pos="-576"/>
                <w:tab w:val="left" w:pos="435"/>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C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C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CE">
            <w:pPr>
              <w:numPr>
                <w:ilvl w:val="1"/>
                <w:numId w:val="20"/>
              </w:numPr>
              <w:pBdr>
                <w:top w:space="0" w:sz="0" w:val="nil"/>
                <w:left w:space="0" w:sz="0" w:val="nil"/>
                <w:bottom w:space="0" w:sz="0" w:val="nil"/>
                <w:right w:space="0" w:sz="0" w:val="nil"/>
                <w:between w:space="0" w:sz="0" w:val="nil"/>
              </w:pBdr>
              <w:tabs>
                <w:tab w:val="left" w:pos="-576"/>
                <w:tab w:val="left" w:pos="294"/>
              </w:tabs>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CF">
            <w:pPr>
              <w:numPr>
                <w:ilvl w:val="2"/>
                <w:numId w:val="20"/>
              </w:numPr>
              <w:pBdr>
                <w:top w:space="0" w:sz="0" w:val="nil"/>
                <w:left w:space="0" w:sz="0" w:val="nil"/>
                <w:bottom w:space="0" w:sz="0" w:val="nil"/>
                <w:right w:space="0" w:sz="0" w:val="nil"/>
                <w:between w:space="0" w:sz="0" w:val="nil"/>
              </w:pBdr>
              <w:tabs>
                <w:tab w:val="left" w:pos="-576"/>
                <w:tab w:val="left" w:pos="719"/>
              </w:tabs>
              <w:spacing w:after="120" w:lineRule="auto"/>
              <w:ind w:left="719"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D0">
            <w:pPr>
              <w:numPr>
                <w:ilvl w:val="2"/>
                <w:numId w:val="20"/>
              </w:numPr>
              <w:pBdr>
                <w:top w:space="0" w:sz="0" w:val="nil"/>
                <w:left w:space="0" w:sz="0" w:val="nil"/>
                <w:bottom w:space="0" w:sz="0" w:val="nil"/>
                <w:right w:space="0" w:sz="0" w:val="nil"/>
                <w:between w:space="0" w:sz="0" w:val="nil"/>
              </w:pBdr>
              <w:tabs>
                <w:tab w:val="left" w:pos="-576"/>
                <w:tab w:val="left" w:pos="144"/>
              </w:tabs>
              <w:spacing w:after="120" w:lineRule="auto"/>
              <w:ind w:left="719"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D1">
            <w:pPr>
              <w:numPr>
                <w:ilvl w:val="1"/>
                <w:numId w:val="20"/>
              </w:numPr>
              <w:pBdr>
                <w:top w:space="0" w:sz="0" w:val="nil"/>
                <w:left w:space="0" w:sz="0" w:val="nil"/>
                <w:bottom w:space="0" w:sz="0" w:val="nil"/>
                <w:right w:space="0" w:sz="0" w:val="nil"/>
                <w:between w:space="0" w:sz="0" w:val="nil"/>
              </w:pBdr>
              <w:tabs>
                <w:tab w:val="left" w:pos="-576"/>
                <w:tab w:val="left" w:pos="144"/>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D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“Off-Payroll Worker”</w:t>
            </w:r>
          </w:p>
        </w:tc>
        <w:tc>
          <w:tcPr/>
          <w:p w:rsidR="00000000" w:rsidDel="00000000" w:rsidP="00000000" w:rsidRDefault="00000000" w:rsidRPr="00000000" w14:paraId="000001D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Worker (or contractor), not employed by the Supplier or any other organisation within the supply chain, that provides their services through their own private limited company or other type of intermediary which may include the Worker’s own personal service company, a partnership or an individual;</w:t>
            </w:r>
          </w:p>
        </w:tc>
      </w:tr>
      <w:tr>
        <w:trPr>
          <w:cantSplit w:val="0"/>
          <w:tblHeader w:val="0"/>
        </w:trPr>
        <w:tc>
          <w:tcPr/>
          <w:p w:rsidR="00000000" w:rsidDel="00000000" w:rsidP="00000000" w:rsidRDefault="00000000" w:rsidRPr="00000000" w14:paraId="000001D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D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D6">
            <w:pPr>
              <w:numPr>
                <w:ilvl w:val="1"/>
                <w:numId w:val="8"/>
              </w:numPr>
              <w:pBdr>
                <w:top w:space="0" w:sz="0" w:val="nil"/>
                <w:left w:space="0" w:sz="0" w:val="nil"/>
                <w:bottom w:space="0" w:sz="0" w:val="nil"/>
                <w:right w:space="0" w:sz="0" w:val="nil"/>
                <w:between w:space="0" w:sz="0" w:val="nil"/>
              </w:pBdr>
              <w:tabs>
                <w:tab w:val="left" w:pos="-576"/>
                <w:tab w:val="left" w:pos="435"/>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D7">
            <w:pPr>
              <w:numPr>
                <w:ilvl w:val="1"/>
                <w:numId w:val="8"/>
              </w:numPr>
              <w:pBdr>
                <w:top w:space="0" w:sz="0" w:val="nil"/>
                <w:left w:space="0" w:sz="0" w:val="nil"/>
                <w:bottom w:space="0" w:sz="0" w:val="nil"/>
                <w:right w:space="0" w:sz="0" w:val="nil"/>
                <w:between w:space="0" w:sz="0" w:val="nil"/>
              </w:pBdr>
              <w:tabs>
                <w:tab w:val="left" w:pos="-576"/>
                <w:tab w:val="left" w:pos="435"/>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D8">
            <w:pPr>
              <w:numPr>
                <w:ilvl w:val="2"/>
                <w:numId w:val="8"/>
              </w:numPr>
              <w:pBdr>
                <w:top w:space="0" w:sz="0" w:val="nil"/>
                <w:left w:space="0" w:sz="0" w:val="nil"/>
                <w:bottom w:space="0" w:sz="0" w:val="nil"/>
                <w:right w:space="0" w:sz="0" w:val="nil"/>
                <w:between w:space="0" w:sz="0" w:val="nil"/>
              </w:pBdr>
              <w:tabs>
                <w:tab w:val="left" w:pos="-576"/>
                <w:tab w:val="left" w:pos="861"/>
              </w:tabs>
              <w:spacing w:after="120" w:lineRule="auto"/>
              <w:ind w:left="861"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D9">
            <w:pPr>
              <w:numPr>
                <w:ilvl w:val="2"/>
                <w:numId w:val="8"/>
              </w:numPr>
              <w:pBdr>
                <w:top w:space="0" w:sz="0" w:val="nil"/>
                <w:left w:space="0" w:sz="0" w:val="nil"/>
                <w:bottom w:space="0" w:sz="0" w:val="nil"/>
                <w:right w:space="0" w:sz="0" w:val="nil"/>
                <w:between w:space="0" w:sz="0" w:val="nil"/>
              </w:pBdr>
              <w:tabs>
                <w:tab w:val="left" w:pos="-576"/>
                <w:tab w:val="left" w:pos="861"/>
              </w:tabs>
              <w:spacing w:after="120" w:lineRule="auto"/>
              <w:ind w:left="861"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DA">
            <w:pPr>
              <w:numPr>
                <w:ilvl w:val="2"/>
                <w:numId w:val="8"/>
              </w:numPr>
              <w:pBdr>
                <w:top w:space="0" w:sz="0" w:val="nil"/>
                <w:left w:space="0" w:sz="0" w:val="nil"/>
                <w:bottom w:space="0" w:sz="0" w:val="nil"/>
                <w:right w:space="0" w:sz="0" w:val="nil"/>
                <w:between w:space="0" w:sz="0" w:val="nil"/>
              </w:pBdr>
              <w:tabs>
                <w:tab w:val="left" w:pos="-576"/>
                <w:tab w:val="left" w:pos="861"/>
              </w:tabs>
              <w:spacing w:after="120" w:lineRule="auto"/>
              <w:ind w:left="861"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DB">
            <w:pPr>
              <w:numPr>
                <w:ilvl w:val="2"/>
                <w:numId w:val="8"/>
              </w:numPr>
              <w:pBdr>
                <w:top w:space="0" w:sz="0" w:val="nil"/>
                <w:left w:space="0" w:sz="0" w:val="nil"/>
                <w:bottom w:space="0" w:sz="0" w:val="nil"/>
                <w:right w:space="0" w:sz="0" w:val="nil"/>
                <w:between w:space="0" w:sz="0" w:val="nil"/>
              </w:pBdr>
              <w:tabs>
                <w:tab w:val="left" w:pos="-576"/>
                <w:tab w:val="left" w:pos="861"/>
              </w:tabs>
              <w:spacing w:after="120" w:lineRule="auto"/>
              <w:ind w:left="861"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DC">
            <w:pPr>
              <w:numPr>
                <w:ilvl w:val="1"/>
                <w:numId w:val="8"/>
              </w:numPr>
              <w:pBdr>
                <w:top w:space="0" w:sz="0" w:val="nil"/>
                <w:left w:space="0" w:sz="0" w:val="nil"/>
                <w:bottom w:space="0" w:sz="0" w:val="nil"/>
                <w:right w:space="0" w:sz="0" w:val="nil"/>
                <w:between w:space="0" w:sz="0" w:val="nil"/>
              </w:pBdr>
              <w:tabs>
                <w:tab w:val="left" w:pos="-576"/>
                <w:tab w:val="left" w:pos="435"/>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DD">
            <w:pPr>
              <w:numPr>
                <w:ilvl w:val="1"/>
                <w:numId w:val="8"/>
              </w:numPr>
              <w:pBdr>
                <w:top w:space="0" w:sz="0" w:val="nil"/>
                <w:left w:space="0" w:sz="0" w:val="nil"/>
                <w:bottom w:space="0" w:sz="0" w:val="nil"/>
                <w:right w:space="0" w:sz="0" w:val="nil"/>
                <w:between w:space="0" w:sz="0" w:val="nil"/>
              </w:pBdr>
              <w:tabs>
                <w:tab w:val="left" w:pos="-576"/>
                <w:tab w:val="left" w:pos="435"/>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third-party financing costs incurred in relation to the provision of the Deliverables;</w:t>
            </w:r>
          </w:p>
          <w:p w:rsidR="00000000" w:rsidDel="00000000" w:rsidP="00000000" w:rsidRDefault="00000000" w:rsidRPr="00000000" w14:paraId="000001DE">
            <w:pPr>
              <w:numPr>
                <w:ilvl w:val="1"/>
                <w:numId w:val="8"/>
              </w:numPr>
              <w:pBdr>
                <w:top w:space="0" w:sz="0" w:val="nil"/>
                <w:left w:space="0" w:sz="0" w:val="nil"/>
                <w:bottom w:space="0" w:sz="0" w:val="nil"/>
                <w:right w:space="0" w:sz="0" w:val="nil"/>
                <w:between w:space="0" w:sz="0" w:val="nil"/>
              </w:pBdr>
              <w:tabs>
                <w:tab w:val="left" w:pos="-576"/>
                <w:tab w:val="left" w:pos="435"/>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DF">
            <w:pPr>
              <w:numPr>
                <w:ilvl w:val="1"/>
                <w:numId w:val="8"/>
              </w:numPr>
              <w:pBdr>
                <w:top w:space="0" w:sz="0" w:val="nil"/>
                <w:left w:space="0" w:sz="0" w:val="nil"/>
                <w:bottom w:space="0" w:sz="0" w:val="nil"/>
                <w:right w:space="0" w:sz="0" w:val="nil"/>
                <w:between w:space="0" w:sz="0" w:val="nil"/>
              </w:pBdr>
              <w:tabs>
                <w:tab w:val="left" w:pos="-576"/>
                <w:tab w:val="left" w:pos="435"/>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E0">
            <w:pPr>
              <w:numPr>
                <w:ilvl w:val="1"/>
                <w:numId w:val="8"/>
              </w:numPr>
              <w:pBdr>
                <w:top w:space="0" w:sz="0" w:val="nil"/>
                <w:left w:space="0" w:sz="0" w:val="nil"/>
                <w:bottom w:space="0" w:sz="0" w:val="nil"/>
                <w:right w:space="0" w:sz="0" w:val="nil"/>
                <w:between w:space="0" w:sz="0" w:val="nil"/>
              </w:pBdr>
              <w:tabs>
                <w:tab w:val="left" w:pos="-576"/>
                <w:tab w:val="left" w:pos="435"/>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E1">
            <w:pPr>
              <w:numPr>
                <w:ilvl w:val="1"/>
                <w:numId w:val="8"/>
              </w:numPr>
              <w:pBdr>
                <w:top w:space="0" w:sz="0" w:val="nil"/>
                <w:left w:space="0" w:sz="0" w:val="nil"/>
                <w:bottom w:space="0" w:sz="0" w:val="nil"/>
                <w:right w:space="0" w:sz="0" w:val="nil"/>
                <w:between w:space="0" w:sz="0" w:val="nil"/>
              </w:pBdr>
              <w:tabs>
                <w:tab w:val="left" w:pos="-576"/>
                <w:tab w:val="left" w:pos="435"/>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 Extension Period”</w:t>
            </w:r>
          </w:p>
        </w:tc>
        <w:tc>
          <w:tcPr/>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maximum optional extension period to the Call-Off Initial Period as set out in the Order Form;</w:t>
            </w:r>
          </w:p>
        </w:tc>
      </w:tr>
      <w:tr>
        <w:trPr>
          <w:cantSplit w:val="0"/>
          <w:tblHeader w:val="0"/>
        </w:trPr>
        <w:tc>
          <w:tcPr/>
          <w:p w:rsidR="00000000" w:rsidDel="00000000" w:rsidP="00000000" w:rsidRDefault="00000000" w:rsidRPr="00000000" w14:paraId="000001E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E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w:t>
            </w:r>
          </w:p>
        </w:tc>
      </w:tr>
      <w:tr>
        <w:trPr>
          <w:cantSplit w:val="0"/>
          <w:tblHeader w:val="0"/>
        </w:trPr>
        <w:tc>
          <w:tcPr/>
          <w:p w:rsidR="00000000" w:rsidDel="00000000" w:rsidP="00000000" w:rsidRDefault="00000000" w:rsidRPr="00000000" w14:paraId="000001E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E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E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E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EC">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EE">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E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F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F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F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F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F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F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F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F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the Relevant Authority and/or of any subcontractor and/or Sub processor engaged in the performance of its obligations under a Contract;</w:t>
            </w:r>
          </w:p>
        </w:tc>
      </w:tr>
      <w:tr>
        <w:trPr>
          <w:cantSplit w:val="0"/>
          <w:tblHeader w:val="0"/>
        </w:trPr>
        <w:tc>
          <w:tcPr/>
          <w:p w:rsidR="00000000" w:rsidDel="00000000" w:rsidP="00000000" w:rsidRDefault="00000000" w:rsidRPr="00000000" w14:paraId="000001F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“Platform”</w:t>
            </w:r>
          </w:p>
        </w:tc>
        <w:tc>
          <w:tcPr/>
          <w:p w:rsidR="00000000" w:rsidDel="00000000" w:rsidP="00000000" w:rsidRDefault="00000000" w:rsidRPr="00000000" w14:paraId="000001F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platform, site or system operated on behalf of CCS which requires a potential Buyer to complete the Buyer Registration Procedure and specify its Authorised Users who may access and use the platform, site or system on behalf of the Buyer and use it to assist in selecting or shortlisting suppliers when undertaking a Call-Off Procedure in accordance with Framework Schedule 7 (Call-Off Award Procedure), to Order Deliverables under a Contract;</w:t>
            </w:r>
          </w:p>
        </w:tc>
      </w:tr>
      <w:tr>
        <w:trPr>
          <w:cantSplit w:val="0"/>
          <w:tblHeader w:val="0"/>
        </w:trPr>
        <w:tc>
          <w:tcPr/>
          <w:p w:rsidR="00000000" w:rsidDel="00000000" w:rsidP="00000000" w:rsidRDefault="00000000" w:rsidRPr="00000000" w14:paraId="000001F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F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10">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F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“Pricing Mechanism”</w:t>
            </w:r>
          </w:p>
        </w:tc>
        <w:tc>
          <w:tcPr/>
          <w:p w:rsidR="00000000" w:rsidDel="00000000" w:rsidP="00000000" w:rsidRDefault="00000000" w:rsidRPr="00000000" w14:paraId="000001F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any of the following: (a) Hourly Rate / Day Rate / Monthly Rate, (b) Time and Materials, (c) Fixed Price, (d) Capped Price, and/or (e) Alternative Fee Arrangement;</w:t>
            </w:r>
          </w:p>
        </w:tc>
      </w:tr>
      <w:tr>
        <w:trPr>
          <w:cantSplit w:val="0"/>
          <w:tblHeader w:val="0"/>
        </w:trPr>
        <w:tc>
          <w:tcPr/>
          <w:p w:rsidR="00000000" w:rsidDel="00000000" w:rsidP="00000000" w:rsidRDefault="00000000" w:rsidRPr="00000000" w14:paraId="0000020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20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0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20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20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20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20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20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20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20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20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20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20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20D">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20E">
            <w:pPr>
              <w:numPr>
                <w:ilvl w:val="2"/>
                <w:numId w:val="9"/>
              </w:numPr>
              <w:pBdr>
                <w:top w:space="0" w:sz="0" w:val="nil"/>
                <w:left w:space="0" w:sz="0" w:val="nil"/>
                <w:bottom w:space="0" w:sz="0" w:val="nil"/>
                <w:right w:space="0" w:sz="0" w:val="nil"/>
                <w:between w:space="0" w:sz="0" w:val="nil"/>
              </w:pBdr>
              <w:tabs>
                <w:tab w:val="left" w:pos="-179"/>
                <w:tab w:val="left" w:pos="-9"/>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20F">
            <w:pPr>
              <w:numPr>
                <w:ilvl w:val="2"/>
                <w:numId w:val="9"/>
              </w:numPr>
              <w:pBdr>
                <w:top w:space="0" w:sz="0" w:val="nil"/>
                <w:left w:space="0" w:sz="0" w:val="nil"/>
                <w:bottom w:space="0" w:sz="0" w:val="nil"/>
                <w:right w:space="0" w:sz="0" w:val="nil"/>
                <w:between w:space="0" w:sz="0" w:val="nil"/>
              </w:pBdr>
              <w:tabs>
                <w:tab w:val="left" w:pos="-179"/>
                <w:tab w:val="left" w:pos="-9"/>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210">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211">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212">
            <w:pPr>
              <w:numPr>
                <w:ilvl w:val="2"/>
                <w:numId w:val="9"/>
              </w:numPr>
              <w:pBdr>
                <w:top w:space="0" w:sz="0" w:val="nil"/>
                <w:left w:space="0" w:sz="0" w:val="nil"/>
                <w:bottom w:space="0" w:sz="0" w:val="nil"/>
                <w:right w:space="0" w:sz="0" w:val="nil"/>
                <w:between w:space="0" w:sz="0" w:val="nil"/>
              </w:pBdr>
              <w:tabs>
                <w:tab w:val="left" w:pos="-179"/>
                <w:tab w:val="left" w:pos="-9"/>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213">
            <w:pPr>
              <w:numPr>
                <w:ilvl w:val="2"/>
                <w:numId w:val="9"/>
              </w:numPr>
              <w:pBdr>
                <w:top w:space="0" w:sz="0" w:val="nil"/>
                <w:left w:space="0" w:sz="0" w:val="nil"/>
                <w:bottom w:space="0" w:sz="0" w:val="nil"/>
                <w:right w:space="0" w:sz="0" w:val="nil"/>
                <w:between w:space="0" w:sz="0" w:val="nil"/>
              </w:pBdr>
              <w:tabs>
                <w:tab w:val="left" w:pos="-179"/>
                <w:tab w:val="left" w:pos="-9"/>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214">
            <w:pPr>
              <w:numPr>
                <w:ilvl w:val="2"/>
                <w:numId w:val="9"/>
              </w:numPr>
              <w:pBdr>
                <w:top w:space="0" w:sz="0" w:val="nil"/>
                <w:left w:space="0" w:sz="0" w:val="nil"/>
                <w:bottom w:space="0" w:sz="0" w:val="nil"/>
                <w:right w:space="0" w:sz="0" w:val="nil"/>
                <w:between w:space="0" w:sz="0" w:val="nil"/>
              </w:pBdr>
              <w:tabs>
                <w:tab w:val="left" w:pos="-179"/>
                <w:tab w:val="left" w:pos="-9"/>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215">
            <w:pPr>
              <w:numPr>
                <w:ilvl w:val="1"/>
                <w:numId w:val="9"/>
              </w:numPr>
              <w:pBdr>
                <w:top w:space="0" w:sz="0" w:val="nil"/>
                <w:left w:space="0" w:sz="0" w:val="nil"/>
                <w:bottom w:space="0" w:sz="0" w:val="nil"/>
                <w:right w:space="0" w:sz="0" w:val="nil"/>
                <w:between w:space="0" w:sz="0" w:val="nil"/>
              </w:pBdr>
              <w:tabs>
                <w:tab w:val="left" w:pos="-576"/>
                <w:tab w:val="left" w:pos="144"/>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21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21E">
            <w:pPr>
              <w:numPr>
                <w:ilvl w:val="1"/>
                <w:numId w:val="30"/>
              </w:numPr>
              <w:pBdr>
                <w:top w:space="0" w:sz="0" w:val="nil"/>
                <w:left w:space="0" w:sz="0" w:val="nil"/>
                <w:bottom w:space="0" w:sz="0" w:val="nil"/>
                <w:right w:space="0" w:sz="0" w:val="nil"/>
                <w:between w:space="0" w:sz="0" w:val="nil"/>
              </w:pBdr>
              <w:tabs>
                <w:tab w:val="left" w:pos="-576"/>
                <w:tab w:val="left" w:pos="435"/>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21F">
            <w:pPr>
              <w:numPr>
                <w:ilvl w:val="1"/>
                <w:numId w:val="30"/>
              </w:numPr>
              <w:pBdr>
                <w:top w:space="0" w:sz="0" w:val="nil"/>
                <w:left w:space="0" w:sz="0" w:val="nil"/>
                <w:bottom w:space="0" w:sz="0" w:val="nil"/>
                <w:right w:space="0" w:sz="0" w:val="nil"/>
                <w:between w:space="0" w:sz="0" w:val="nil"/>
              </w:pBdr>
              <w:tabs>
                <w:tab w:val="left" w:pos="-576"/>
                <w:tab w:val="left" w:pos="435"/>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220">
            <w:pPr>
              <w:numPr>
                <w:ilvl w:val="1"/>
                <w:numId w:val="30"/>
              </w:numPr>
              <w:pBdr>
                <w:top w:space="0" w:sz="0" w:val="nil"/>
                <w:left w:space="0" w:sz="0" w:val="nil"/>
                <w:bottom w:space="0" w:sz="0" w:val="nil"/>
                <w:right w:space="0" w:sz="0" w:val="nil"/>
                <w:between w:space="0" w:sz="0" w:val="nil"/>
              </w:pBdr>
              <w:tabs>
                <w:tab w:val="left" w:pos="-576"/>
                <w:tab w:val="left" w:pos="435"/>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22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22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“Regulatory Compliance”</w:t>
            </w:r>
          </w:p>
        </w:tc>
        <w:tc>
          <w:tcPr/>
          <w:p w:rsidR="00000000" w:rsidDel="00000000" w:rsidP="00000000" w:rsidRDefault="00000000" w:rsidRPr="00000000" w14:paraId="00000226">
            <w:pPr>
              <w:jc w:val="both"/>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that the Deliverables shall at all times be supplied in accordance with, amongst other things:</w:t>
            </w:r>
            <w:r w:rsidDel="00000000" w:rsidR="00000000" w:rsidRPr="00000000">
              <w:rPr>
                <w:rtl w:val="0"/>
              </w:rPr>
            </w:r>
          </w:p>
          <w:p w:rsidR="00000000" w:rsidDel="00000000" w:rsidP="00000000" w:rsidRDefault="00000000" w:rsidRPr="00000000" w14:paraId="00000227">
            <w:pPr>
              <w:ind w:left="567"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228">
            <w:pPr>
              <w:numPr>
                <w:ilvl w:val="0"/>
                <w:numId w:val="3"/>
              </w:numPr>
              <w:pBdr>
                <w:top w:space="0" w:sz="0" w:val="nil"/>
                <w:left w:space="0" w:sz="0" w:val="nil"/>
                <w:bottom w:space="0" w:sz="0" w:val="nil"/>
                <w:right w:space="0" w:sz="0" w:val="nil"/>
                <w:between w:space="0" w:sz="0" w:val="nil"/>
              </w:pBdr>
              <w:spacing w:line="276" w:lineRule="auto"/>
              <w:ind w:left="425"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legal and professional practice rules, codes, principles and proper interpretation of the law and court decisions in existence in the applicable Jurisdiction at the date on which the Deliverable (or element of the Deliverables) is supplied to the Buyer; and</w:t>
            </w:r>
          </w:p>
          <w:p w:rsidR="00000000" w:rsidDel="00000000" w:rsidP="00000000" w:rsidRDefault="00000000" w:rsidRPr="00000000" w14:paraId="00000229">
            <w:pPr>
              <w:numPr>
                <w:ilvl w:val="0"/>
                <w:numId w:val="3"/>
              </w:numPr>
              <w:pBdr>
                <w:top w:space="0" w:sz="0" w:val="nil"/>
                <w:left w:space="0" w:sz="0" w:val="nil"/>
                <w:bottom w:space="0" w:sz="0" w:val="nil"/>
                <w:right w:space="0" w:sz="0" w:val="nil"/>
                <w:between w:space="0" w:sz="0" w:val="nil"/>
              </w:pBdr>
              <w:spacing w:after="200" w:line="276" w:lineRule="auto"/>
              <w:ind w:left="425"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standards of professionalism expected by the professional body that registers and authorises individuals (for example, solicitors, registered European lawyers and registered foreign lawyers) and firms of solicitors (or equivalents) to practice and provide legal services in the applicable Jurisdiction;</w:t>
            </w:r>
          </w:p>
        </w:tc>
      </w:tr>
      <w:tr>
        <w:trPr>
          <w:cantSplit w:val="0"/>
          <w:tblHeader w:val="0"/>
        </w:trPr>
        <w:tc>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2C">
            <w:pPr>
              <w:numPr>
                <w:ilvl w:val="1"/>
                <w:numId w:val="18"/>
              </w:numPr>
              <w:pBdr>
                <w:top w:space="0" w:sz="0" w:val="nil"/>
                <w:left w:space="0" w:sz="0" w:val="nil"/>
                <w:bottom w:space="0" w:sz="0" w:val="nil"/>
                <w:right w:space="0" w:sz="0" w:val="nil"/>
                <w:between w:space="0" w:sz="0" w:val="nil"/>
              </w:pBdr>
              <w:tabs>
                <w:tab w:val="left" w:pos="-576"/>
                <w:tab w:val="left" w:pos="294"/>
              </w:tabs>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2D">
            <w:pPr>
              <w:numPr>
                <w:ilvl w:val="1"/>
                <w:numId w:val="18"/>
              </w:numPr>
              <w:pBdr>
                <w:top w:space="0" w:sz="0" w:val="nil"/>
                <w:left w:space="0" w:sz="0" w:val="nil"/>
                <w:bottom w:space="0" w:sz="0" w:val="nil"/>
                <w:right w:space="0" w:sz="0" w:val="nil"/>
                <w:between w:space="0" w:sz="0" w:val="nil"/>
              </w:pBdr>
              <w:tabs>
                <w:tab w:val="left" w:pos="-576"/>
                <w:tab w:val="left" w:pos="294"/>
              </w:tabs>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31">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32">
            <w:pPr>
              <w:numPr>
                <w:ilvl w:val="1"/>
                <w:numId w:val="13"/>
              </w:numPr>
              <w:pBdr>
                <w:top w:space="0" w:sz="0" w:val="nil"/>
                <w:left w:space="0" w:sz="0" w:val="nil"/>
                <w:bottom w:space="0" w:sz="0" w:val="nil"/>
                <w:right w:space="0" w:sz="0" w:val="nil"/>
                <w:between w:space="0" w:sz="0" w:val="nil"/>
              </w:pBdr>
              <w:tabs>
                <w:tab w:val="left" w:pos="-576"/>
                <w:tab w:val="left" w:pos="144"/>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33">
            <w:pPr>
              <w:numPr>
                <w:ilvl w:val="1"/>
                <w:numId w:val="13"/>
              </w:numPr>
              <w:pBdr>
                <w:top w:space="0" w:sz="0" w:val="nil"/>
                <w:left w:space="0" w:sz="0" w:val="nil"/>
                <w:bottom w:space="0" w:sz="0" w:val="nil"/>
                <w:right w:space="0" w:sz="0" w:val="nil"/>
                <w:between w:space="0" w:sz="0" w:val="nil"/>
              </w:pBdr>
              <w:tabs>
                <w:tab w:val="left" w:pos="-179"/>
                <w:tab w:val="left" w:pos="-9"/>
              </w:tabs>
              <w:spacing w:after="120" w:line="276" w:lineRule="auto"/>
              <w:ind w:left="294" w:hanging="28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information derived from any of the above;</w:t>
            </w:r>
          </w:p>
        </w:tc>
      </w:tr>
      <w:tr>
        <w:trPr>
          <w:cantSplit w:val="0"/>
          <w:tblHeader w:val="0"/>
        </w:trP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36">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pos="1985"/>
                <w:tab w:val="left" w:pos="2127"/>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pos="1985"/>
                <w:tab w:val="left" w:pos="2127"/>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blHeader w:val="0"/>
        </w:trPr>
        <w:tc>
          <w:tcPr/>
          <w:p w:rsidR="00000000" w:rsidDel="00000000" w:rsidP="00000000" w:rsidRDefault="00000000" w:rsidRPr="00000000" w14:paraId="0000023C">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 </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 Tool” or “RFI Tool”</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functional tool within the Platform (or as otherwise described in Framework Schedule 7 (Call-Off Award Procedure) to be used by Buyers to seek clarification or additional information from suppliers that will assist the Buyer in preparing its Statement of Requirement, planning and conducting its Call-Off Procedure, before undertaking a Call-Off Procedure in accordance with Framework Schedule 7;</w:t>
            </w:r>
          </w:p>
        </w:tc>
      </w:tr>
      <w:tr>
        <w:trPr>
          <w:cantSplit w:val="0"/>
          <w:tblHeader w:val="0"/>
        </w:trP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“Restricted Staff”</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employed or engaged by either Party, in the capacity of director or in any research, technical, IT, security, engineering, procurement, financial, legal or managerial role who has been engaged in the provision of the Deliverables or management of the Contract either as principal, agent, employee, independent contractor or in any other form of employment or engagement over the previous 12 Months, directly worked with or had any material dealings, but shall not include any person employed or engaged in an administrative, clerical, manual or secretarial capacity;</w:t>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“Retained EU Law”</w:t>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category of UK Law created under Section 2 to 4 of the European Union (Withdrawal) Act 2018 at the end of the transition period following the repeal of the savings to the European Communities Act 1972;</w:t>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“Secondment”</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temporary transfer of one or more:</w:t>
            </w:r>
          </w:p>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Supplier Staff from the Supplier to the Buyer (Outward Secondment); </w:t>
            </w:r>
          </w:p>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Buyer Personnel from the Buyer to the Supplier (Inward Secondment);</w:t>
            </w:r>
          </w:p>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another position or employment, in accordance with the Secondment Agreement for the Secondment Charge; and “</w:t>
            </w:r>
            <w:r w:rsidDel="00000000" w:rsidR="00000000" w:rsidRPr="00000000">
              <w:rPr>
                <w:rFonts w:ascii="Arial" w:cs="Arial" w:eastAsia="Arial" w:hAnsi="Arial"/>
                <w:b w:val="1"/>
                <w:color w:val="000000"/>
                <w:sz w:val="24"/>
                <w:szCs w:val="24"/>
                <w:rtl w:val="0"/>
              </w:rPr>
              <w:t xml:space="preserve">Secondee</w:t>
            </w:r>
            <w:r w:rsidDel="00000000" w:rsidR="00000000" w:rsidRPr="00000000">
              <w:rPr>
                <w:rFonts w:ascii="Arial" w:cs="Arial" w:eastAsia="Arial" w:hAnsi="Arial"/>
                <w:color w:val="000000"/>
                <w:sz w:val="24"/>
                <w:szCs w:val="24"/>
                <w:rtl w:val="0"/>
              </w:rPr>
              <w:t xml:space="preserve">” is a person on a Secondment;</w:t>
            </w:r>
          </w:p>
        </w:tc>
      </w:tr>
      <w:tr>
        <w:trPr>
          <w:cantSplit w:val="0"/>
          <w:tblHeader w:val="0"/>
        </w:trPr>
        <w:tc>
          <w:tcPr/>
          <w:p w:rsidR="00000000" w:rsidDel="00000000" w:rsidP="00000000" w:rsidRDefault="00000000" w:rsidRPr="00000000" w14:paraId="0000025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“Secondment Agreement”</w:t>
            </w:r>
          </w:p>
        </w:tc>
        <w:tc>
          <w:tcPr/>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entered into between the Supplier and Buyer regarding an Inward Exchange or an Outward Exchange or a Secondment which shall be in the form and format of the Call-Off Schedule 26 (Secondment Agreement Template);</w:t>
            </w:r>
          </w:p>
        </w:tc>
      </w:tr>
      <w:tr>
        <w:trPr>
          <w:cantSplit w:val="0"/>
          <w:tblHeader w:val="0"/>
        </w:trPr>
        <w:tc>
          <w:tcPr>
            <w:tcBorders>
              <w:bottom w:color="000000" w:space="0" w:sz="4" w:val="single"/>
            </w:tcBorders>
          </w:tcPr>
          <w:p w:rsidR="00000000" w:rsidDel="00000000" w:rsidP="00000000" w:rsidRDefault="00000000" w:rsidRPr="00000000" w14:paraId="0000025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“Secondment Charge”</w:t>
            </w:r>
          </w:p>
        </w:tc>
        <w:tc>
          <w:tcPr>
            <w:tcBorders>
              <w:bottom w:color="000000" w:space="0" w:sz="4" w:val="single"/>
            </w:tcBorders>
          </w:tcPr>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the Charge for Supplier Staff on an Outward Secondment which shall be no more than the base salary (including all performance-related pay, benefits, employer’s National Insurance contributions, etc. and any relevant pension contributions) ordinarily payable by the Supplier in respect of a Secondee (inclusive of VAT).  Reimbursement shall be made on a pass-through basis only, the Supplier shall not be entitled to add any element of overhead, expenses, profit or other costs, and the Charge shall be no greater than the applicable Supplier Staff grade set out in Annex 1 of Framework Schedule 3 (Framework Prices);</w:t>
            </w:r>
          </w:p>
          <w:p w:rsidR="00000000" w:rsidDel="00000000" w:rsidP="00000000" w:rsidRDefault="00000000" w:rsidRPr="00000000" w14:paraId="00000255">
            <w:pPr>
              <w:widowControl w:val="0"/>
              <w:spacing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w:t>
              <w:tab/>
              <w:t xml:space="preserve">there shall be no charge due from the Buyer for an Inward Secondment.</w:t>
            </w:r>
          </w:p>
        </w:tc>
      </w:tr>
      <w:tr>
        <w:trPr>
          <w:cantSplit w:val="0"/>
          <w:tblHeader w:val="0"/>
        </w:trPr>
        <w:tc>
          <w:tcPr>
            <w:tcBorders>
              <w:top w:color="000000" w:space="0" w:sz="4" w:val="single"/>
            </w:tcBorders>
          </w:tcPr>
          <w:p w:rsidR="00000000" w:rsidDel="00000000" w:rsidP="00000000" w:rsidRDefault="00000000" w:rsidRPr="00000000" w14:paraId="0000025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Outward Secondment</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tcBorders>
          </w:tcPr>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 exchange of Supplier Staff from the Supplier to the Buyer in accordance with the Secondment Agreement;</w:t>
            </w:r>
            <w:r w:rsidDel="00000000" w:rsidR="00000000" w:rsidRPr="00000000">
              <w:rPr>
                <w:rtl w:val="0"/>
              </w:rPr>
            </w:r>
          </w:p>
        </w:tc>
      </w:tr>
      <w:tr>
        <w:trPr>
          <w:cantSplit w:val="0"/>
          <w:tblHeader w:val="0"/>
        </w:trPr>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5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5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5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6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6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64">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66">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6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third-party premises) from, to or at which:</w:t>
            </w:r>
          </w:p>
          <w:p w:rsidR="00000000" w:rsidDel="00000000" w:rsidP="00000000" w:rsidRDefault="00000000" w:rsidRPr="00000000" w14:paraId="0000026C">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6D">
            <w:pPr>
              <w:numPr>
                <w:ilvl w:val="1"/>
                <w:numId w:val="7"/>
              </w:numPr>
              <w:pBdr>
                <w:top w:space="0" w:sz="0" w:val="nil"/>
                <w:left w:space="0" w:sz="0" w:val="nil"/>
                <w:bottom w:space="0" w:sz="0" w:val="nil"/>
                <w:right w:space="0" w:sz="0" w:val="nil"/>
                <w:between w:space="0" w:sz="0" w:val="nil"/>
              </w:pBdr>
              <w:tabs>
                <w:tab w:val="left" w:pos="-576"/>
                <w:tab w:val="left" w:pos="144"/>
              </w:tabs>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6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6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7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“Solicitors Regulatory Authority” or “SRA”</w:t>
            </w:r>
          </w:p>
        </w:tc>
        <w:tc>
          <w:tcPr/>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organisation which regulates solicitors, law firms, non-lawyers who can be managers or employees of firms and other types of lawyer (e.g. registered foreign lawyers (RFLS) and registered European lawyers (RELs), in England and Wales (or equivalent organisation in other Jurisdictions);</w:t>
            </w:r>
            <w:r w:rsidDel="00000000" w:rsidR="00000000" w:rsidRPr="00000000">
              <w:rPr>
                <w:rtl w:val="0"/>
              </w:rPr>
            </w:r>
          </w:p>
        </w:tc>
      </w:tr>
      <w:tr>
        <w:trPr>
          <w:cantSplit w:val="0"/>
          <w:trHeight w:val="945" w:hRule="atLeast"/>
          <w:tblHeader w:val="0"/>
        </w:trPr>
        <w:tc>
          <w:tcPr/>
          <w:p w:rsidR="00000000" w:rsidDel="00000000" w:rsidP="00000000" w:rsidRDefault="00000000" w:rsidRPr="00000000" w14:paraId="0000027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7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7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7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7A">
            <w:pPr>
              <w:numPr>
                <w:ilvl w:val="1"/>
                <w:numId w:val="16"/>
              </w:numPr>
              <w:pBdr>
                <w:top w:space="0" w:sz="0" w:val="nil"/>
                <w:left w:space="0" w:sz="0" w:val="nil"/>
                <w:bottom w:space="0" w:sz="0" w:val="nil"/>
                <w:right w:space="0" w:sz="0" w:val="nil"/>
                <w:between w:space="0" w:sz="0" w:val="nil"/>
              </w:pBdr>
              <w:tabs>
                <w:tab w:val="left" w:pos="-576"/>
                <w:tab w:val="left" w:pos="294"/>
              </w:tabs>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7B">
            <w:pPr>
              <w:numPr>
                <w:ilvl w:val="1"/>
                <w:numId w:val="16"/>
              </w:numPr>
              <w:pBdr>
                <w:top w:space="0" w:sz="0" w:val="nil"/>
                <w:left w:space="0" w:sz="0" w:val="nil"/>
                <w:bottom w:space="0" w:sz="0" w:val="nil"/>
                <w:right w:space="0" w:sz="0" w:val="nil"/>
                <w:between w:space="0" w:sz="0" w:val="nil"/>
              </w:pBdr>
              <w:tabs>
                <w:tab w:val="left" w:pos="-576"/>
                <w:tab w:val="left" w:pos="294"/>
              </w:tabs>
              <w:spacing w:after="120" w:lineRule="auto"/>
              <w:ind w:left="294" w:right="48"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7C">
            <w:pPr>
              <w:numPr>
                <w:ilvl w:val="1"/>
                <w:numId w:val="16"/>
              </w:numPr>
              <w:pBdr>
                <w:top w:space="0" w:sz="0" w:val="nil"/>
                <w:left w:space="0" w:sz="0" w:val="nil"/>
                <w:bottom w:space="0" w:sz="0" w:val="nil"/>
                <w:right w:space="0" w:sz="0" w:val="nil"/>
                <w:between w:space="0" w:sz="0" w:val="nil"/>
              </w:pBdr>
              <w:tabs>
                <w:tab w:val="left" w:pos="-576"/>
                <w:tab w:val="left" w:pos="294"/>
              </w:tabs>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7D">
            <w:pPr>
              <w:numPr>
                <w:ilvl w:val="1"/>
                <w:numId w:val="16"/>
              </w:numPr>
              <w:pBdr>
                <w:top w:space="0" w:sz="0" w:val="nil"/>
                <w:left w:space="0" w:sz="0" w:val="nil"/>
                <w:bottom w:space="0" w:sz="0" w:val="nil"/>
                <w:right w:space="0" w:sz="0" w:val="nil"/>
                <w:between w:space="0" w:sz="0" w:val="nil"/>
              </w:pBdr>
              <w:tabs>
                <w:tab w:val="left" w:pos="-576"/>
                <w:tab w:val="left" w:pos="294"/>
              </w:tabs>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7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80">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8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8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Determination Statement” or “SDS”</w:t>
            </w:r>
          </w:p>
        </w:tc>
        <w:tc>
          <w:tcPr/>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a statement that describes the determination reached by the Buyer/client on the employment status (i.e. IR35 status) of an Off-Payroll Worker for a particular Call-Off Contract or any element of work undertaken as part of any SOW, and the reasons for reaching that determination. The SDS must be passed to the Worker and the person or organisation the client contracts with for the worker’s services;</w:t>
            </w:r>
            <w:r w:rsidDel="00000000" w:rsidR="00000000" w:rsidRPr="00000000">
              <w:rPr>
                <w:rtl w:val="0"/>
              </w:rPr>
            </w:r>
          </w:p>
        </w:tc>
      </w:tr>
      <w:tr>
        <w:trPr>
          <w:cantSplit w:val="0"/>
          <w:tblHeader w:val="0"/>
        </w:trPr>
        <w:tc>
          <w:tcPr/>
          <w:p w:rsidR="00000000" w:rsidDel="00000000" w:rsidP="00000000" w:rsidRDefault="00000000" w:rsidRPr="00000000" w14:paraId="00000286">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88">
            <w:pPr>
              <w:numPr>
                <w:ilvl w:val="1"/>
                <w:numId w:val="10"/>
              </w:numPr>
              <w:pBdr>
                <w:top w:space="0" w:sz="0" w:val="nil"/>
                <w:left w:space="0" w:sz="0" w:val="nil"/>
                <w:bottom w:space="0" w:sz="0" w:val="nil"/>
                <w:right w:space="0" w:sz="0" w:val="nil"/>
                <w:between w:space="0" w:sz="0" w:val="nil"/>
              </w:pBdr>
              <w:tabs>
                <w:tab w:val="left" w:pos="-576"/>
                <w:tab w:val="left" w:pos="294"/>
              </w:tabs>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89">
            <w:pPr>
              <w:numPr>
                <w:ilvl w:val="1"/>
                <w:numId w:val="10"/>
              </w:numPr>
              <w:pBdr>
                <w:top w:space="0" w:sz="0" w:val="nil"/>
                <w:left w:space="0" w:sz="0" w:val="nil"/>
                <w:bottom w:space="0" w:sz="0" w:val="nil"/>
                <w:right w:space="0" w:sz="0" w:val="nil"/>
                <w:between w:space="0" w:sz="0" w:val="nil"/>
              </w:pBdr>
              <w:tabs>
                <w:tab w:val="left" w:pos="-576"/>
                <w:tab w:val="left" w:pos="294"/>
              </w:tabs>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8A">
            <w:pPr>
              <w:numPr>
                <w:ilvl w:val="1"/>
                <w:numId w:val="10"/>
              </w:numPr>
              <w:pBdr>
                <w:top w:space="0" w:sz="0" w:val="nil"/>
                <w:left w:space="0" w:sz="0" w:val="nil"/>
                <w:bottom w:space="0" w:sz="0" w:val="nil"/>
                <w:right w:space="0" w:sz="0" w:val="nil"/>
                <w:between w:space="0" w:sz="0" w:val="nil"/>
              </w:pBdr>
              <w:tabs>
                <w:tab w:val="left" w:pos="-576"/>
                <w:tab w:val="left" w:pos="294"/>
              </w:tabs>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8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8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8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9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9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9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96">
            <w:pPr>
              <w:numPr>
                <w:ilvl w:val="1"/>
                <w:numId w:val="31"/>
              </w:numPr>
              <w:pBdr>
                <w:top w:space="0" w:sz="0" w:val="nil"/>
                <w:left w:space="0" w:sz="0" w:val="nil"/>
                <w:bottom w:space="0" w:sz="0" w:val="nil"/>
                <w:right w:space="0" w:sz="0" w:val="nil"/>
                <w:between w:space="0" w:sz="0" w:val="nil"/>
              </w:pBdr>
              <w:tabs>
                <w:tab w:val="left" w:pos="-576"/>
                <w:tab w:val="left" w:pos="435"/>
              </w:tabs>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97">
            <w:pPr>
              <w:numPr>
                <w:ilvl w:val="1"/>
                <w:numId w:val="31"/>
              </w:numPr>
              <w:pBdr>
                <w:top w:space="0" w:sz="0" w:val="nil"/>
                <w:left w:space="0" w:sz="0" w:val="nil"/>
                <w:bottom w:space="0" w:sz="0" w:val="nil"/>
                <w:right w:space="0" w:sz="0" w:val="nil"/>
                <w:between w:space="0" w:sz="0" w:val="nil"/>
              </w:pBdr>
              <w:tabs>
                <w:tab w:val="left" w:pos="-576"/>
                <w:tab w:val="left" w:pos="435"/>
              </w:tabs>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98">
            <w:pPr>
              <w:numPr>
                <w:ilvl w:val="1"/>
                <w:numId w:val="31"/>
              </w:numPr>
              <w:pBdr>
                <w:top w:space="0" w:sz="0" w:val="nil"/>
                <w:left w:space="0" w:sz="0" w:val="nil"/>
                <w:bottom w:space="0" w:sz="0" w:val="nil"/>
                <w:right w:space="0" w:sz="0" w:val="nil"/>
                <w:between w:space="0" w:sz="0" w:val="nil"/>
              </w:pBdr>
              <w:tabs>
                <w:tab w:val="left" w:pos="-576"/>
                <w:tab w:val="left" w:pos="435"/>
              </w:tabs>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99">
            <w:pPr>
              <w:pBdr>
                <w:top w:space="0" w:sz="0" w:val="nil"/>
                <w:left w:space="0" w:sz="0" w:val="nil"/>
                <w:bottom w:space="0" w:sz="0" w:val="nil"/>
                <w:right w:space="0" w:sz="0" w:val="nil"/>
                <w:between w:space="0" w:sz="0" w:val="nil"/>
              </w:pBdr>
              <w:tabs>
                <w:tab w:val="left" w:pos="113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pos="113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9B">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9D">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9F">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A1">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5"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A2">
            <w:pPr>
              <w:numPr>
                <w:ilvl w:val="1"/>
                <w:numId w:val="17"/>
              </w:numPr>
              <w:pBdr>
                <w:top w:space="0" w:sz="0" w:val="nil"/>
                <w:left w:space="0" w:sz="0" w:val="nil"/>
                <w:bottom w:space="0" w:sz="0" w:val="nil"/>
                <w:right w:space="0" w:sz="0" w:val="nil"/>
                <w:between w:space="0" w:sz="0" w:val="nil"/>
              </w:pBdr>
              <w:tabs>
                <w:tab w:val="left" w:pos="-576"/>
                <w:tab w:val="left" w:pos="144"/>
              </w:tabs>
              <w:spacing w:after="120" w:lineRule="auto"/>
              <w:ind w:left="435"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and/or</w:t>
            </w:r>
          </w:p>
          <w:p w:rsidR="00000000" w:rsidDel="00000000" w:rsidP="00000000" w:rsidRDefault="00000000" w:rsidRPr="00000000" w14:paraId="000002A3">
            <w:pPr>
              <w:numPr>
                <w:ilvl w:val="1"/>
                <w:numId w:val="17"/>
              </w:numPr>
              <w:pBdr>
                <w:top w:space="0" w:sz="0" w:val="nil"/>
                <w:left w:space="0" w:sz="0" w:val="nil"/>
                <w:bottom w:space="0" w:sz="0" w:val="nil"/>
                <w:right w:space="0" w:sz="0" w:val="nil"/>
                <w:between w:space="0" w:sz="0" w:val="nil"/>
              </w:pBdr>
              <w:tabs>
                <w:tab w:val="left" w:pos="-576"/>
                <w:tab w:val="left" w:pos="435"/>
              </w:tabs>
              <w:spacing w:after="120" w:lineRule="auto"/>
              <w:ind w:left="435"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A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A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A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Relationship Manager”</w:t>
            </w:r>
          </w:p>
        </w:tc>
        <w:tc>
          <w:tcPr/>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 appointed whose role encompasses:</w:t>
            </w:r>
          </w:p>
          <w:p w:rsidR="00000000" w:rsidDel="00000000" w:rsidP="00000000" w:rsidRDefault="00000000" w:rsidRPr="00000000" w14:paraId="000002AA">
            <w:pPr>
              <w:ind w:left="425" w:hanging="425"/>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the management of the relationship between the Buyers and suppliers appointed to the framework (including the Supplier) in order to deliver maximum value: and</w:t>
            </w:r>
          </w:p>
          <w:p w:rsidR="00000000" w:rsidDel="00000000" w:rsidP="00000000" w:rsidRDefault="00000000" w:rsidRPr="00000000" w14:paraId="000002AB">
            <w:pPr>
              <w:ind w:left="425" w:hanging="425"/>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b)</w:t>
              <w:tab/>
              <w:t xml:space="preserve">working collaboratively with the Supplier and Other Contracting Authorities to establish and maintain objectives to ensure strategic alignment in the provision of the Deliverables;</w:t>
            </w:r>
            <w:r w:rsidDel="00000000" w:rsidR="00000000" w:rsidRPr="00000000">
              <w:rPr>
                <w:rtl w:val="0"/>
              </w:rPr>
            </w:r>
          </w:p>
        </w:tc>
      </w:tr>
      <w:tr>
        <w:trPr>
          <w:cantSplit w:val="0"/>
          <w:tblHeader w:val="0"/>
        </w:trPr>
        <w:tc>
          <w:tcPr/>
          <w:p w:rsidR="00000000" w:rsidDel="00000000" w:rsidP="00000000" w:rsidRDefault="00000000" w:rsidRPr="00000000" w14:paraId="000002A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A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A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A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B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B1">
            <w:pPr>
              <w:numPr>
                <w:ilvl w:val="0"/>
                <w:numId w:val="24"/>
              </w:numPr>
              <w:pBdr>
                <w:top w:space="0" w:sz="0" w:val="nil"/>
                <w:left w:space="0" w:sz="0" w:val="nil"/>
                <w:bottom w:space="0" w:sz="0" w:val="nil"/>
                <w:right w:space="0" w:sz="0" w:val="nil"/>
                <w:between w:space="0" w:sz="0" w:val="nil"/>
              </w:pBdr>
              <w:tabs>
                <w:tab w:val="left" w:pos="-179"/>
                <w:tab w:val="left" w:pos="435"/>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B2">
            <w:pPr>
              <w:numPr>
                <w:ilvl w:val="0"/>
                <w:numId w:val="24"/>
              </w:numPr>
              <w:pBdr>
                <w:top w:space="0" w:sz="0" w:val="nil"/>
                <w:left w:space="0" w:sz="0" w:val="nil"/>
                <w:bottom w:space="0" w:sz="0" w:val="nil"/>
                <w:right w:space="0" w:sz="0" w:val="nil"/>
                <w:between w:space="0" w:sz="0" w:val="nil"/>
              </w:pBdr>
              <w:tabs>
                <w:tab w:val="left" w:pos="-179"/>
                <w:tab w:val="left" w:pos="435"/>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B3">
            <w:pPr>
              <w:numPr>
                <w:ilvl w:val="0"/>
                <w:numId w:val="24"/>
              </w:numPr>
              <w:pBdr>
                <w:top w:space="0" w:sz="0" w:val="nil"/>
                <w:left w:space="0" w:sz="0" w:val="nil"/>
                <w:bottom w:space="0" w:sz="0" w:val="nil"/>
                <w:right w:space="0" w:sz="0" w:val="nil"/>
                <w:between w:space="0" w:sz="0" w:val="nil"/>
              </w:pBdr>
              <w:tabs>
                <w:tab w:val="left" w:pos="-179"/>
                <w:tab w:val="left" w:pos="435"/>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 levies or liabilities (other than in return for goods or services supplied or performed or to be performed) and withholdings; and</w:t>
            </w:r>
          </w:p>
          <w:p w:rsidR="00000000" w:rsidDel="00000000" w:rsidP="00000000" w:rsidRDefault="00000000" w:rsidRPr="00000000" w14:paraId="000002B4">
            <w:pPr>
              <w:numPr>
                <w:ilvl w:val="0"/>
                <w:numId w:val="24"/>
              </w:numPr>
              <w:pBdr>
                <w:top w:space="0" w:sz="0" w:val="nil"/>
                <w:left w:space="0" w:sz="0" w:val="nil"/>
                <w:bottom w:space="0" w:sz="0" w:val="nil"/>
                <w:right w:space="0" w:sz="0" w:val="nil"/>
                <w:between w:space="0" w:sz="0" w:val="nil"/>
              </w:pBdr>
              <w:tabs>
                <w:tab w:val="left" w:pos="-179"/>
                <w:tab w:val="left" w:pos="435"/>
              </w:tabs>
              <w:spacing w:after="120" w:lineRule="auto"/>
              <w:ind w:left="435" w:hanging="43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B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B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B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B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B9">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B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B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BC">
            <w:pPr>
              <w:numPr>
                <w:ilvl w:val="1"/>
                <w:numId w:val="11"/>
              </w:numPr>
              <w:pBdr>
                <w:top w:space="0" w:sz="0" w:val="nil"/>
                <w:left w:space="0" w:sz="0" w:val="nil"/>
                <w:bottom w:space="0" w:sz="0" w:val="nil"/>
                <w:right w:space="0" w:sz="0" w:val="nil"/>
                <w:between w:space="0" w:sz="0" w:val="nil"/>
              </w:pBdr>
              <w:tabs>
                <w:tab w:val="left" w:pos="-576"/>
                <w:tab w:val="left" w:pos="294"/>
              </w:tabs>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BD">
            <w:pPr>
              <w:numPr>
                <w:ilvl w:val="1"/>
                <w:numId w:val="11"/>
              </w:numPr>
              <w:pBdr>
                <w:top w:space="0" w:sz="0" w:val="nil"/>
                <w:left w:space="0" w:sz="0" w:val="nil"/>
                <w:bottom w:space="0" w:sz="0" w:val="nil"/>
                <w:right w:space="0" w:sz="0" w:val="nil"/>
                <w:between w:space="0" w:sz="0" w:val="nil"/>
              </w:pBdr>
              <w:tabs>
                <w:tab w:val="left" w:pos="-576"/>
                <w:tab w:val="left" w:pos="294"/>
              </w:tabs>
              <w:spacing w:after="120" w:lineRule="auto"/>
              <w:ind w:left="294" w:hanging="29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B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B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C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C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C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“Time and Materials”</w:t>
            </w:r>
          </w:p>
        </w:tc>
        <w:tc>
          <w:tcPr/>
          <w:p w:rsidR="00000000" w:rsidDel="00000000" w:rsidP="00000000" w:rsidRDefault="00000000" w:rsidRPr="00000000" w14:paraId="000002C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Payment Mechanism whereby the Buyer agrees to pay the Supplier for the work performed by the Supplier Staff for the applicable grade of Supplier Staff who undertook the work (as set out in Annex 1 of Framework Schedule 3 (Framework Prices)) and for the materials used in the project based on pre-agreed rate cards and material disclosures and subject to time approval by the Buyer;</w:t>
            </w:r>
          </w:p>
        </w:tc>
      </w:tr>
      <w:tr>
        <w:trPr>
          <w:cantSplit w:val="0"/>
          <w:tblHeader w:val="0"/>
        </w:trPr>
        <w:tc>
          <w:tcPr/>
          <w:p w:rsidR="00000000" w:rsidDel="00000000" w:rsidP="00000000" w:rsidRDefault="00000000" w:rsidRPr="00000000" w14:paraId="000002C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C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C6">
            <w:pPr>
              <w:keepNext w:val="1"/>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C7">
            <w:pPr>
              <w:keepNext w:val="1"/>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C8">
            <w:pPr>
              <w:keepNext w:val="1"/>
              <w:pBdr>
                <w:top w:space="0" w:sz="0" w:val="nil"/>
                <w:left w:space="0" w:sz="0" w:val="nil"/>
                <w:bottom w:space="0" w:sz="0" w:val="nil"/>
                <w:right w:space="0" w:sz="0" w:val="nil"/>
                <w:between w:space="0" w:sz="0" w:val="nil"/>
              </w:pBdr>
              <w:tabs>
                <w:tab w:val="left" w:pos="-179"/>
                <w:tab w:val="left" w:pos="435"/>
              </w:tabs>
              <w:spacing w:after="120" w:lineRule="auto"/>
              <w:ind w:left="435"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C9">
            <w:pPr>
              <w:keepNext w:val="1"/>
              <w:pBdr>
                <w:top w:space="0" w:sz="0" w:val="nil"/>
                <w:left w:space="0" w:sz="0" w:val="nil"/>
                <w:bottom w:space="0" w:sz="0" w:val="nil"/>
                <w:right w:space="0" w:sz="0" w:val="nil"/>
                <w:between w:space="0" w:sz="0" w:val="nil"/>
              </w:pBdr>
              <w:tabs>
                <w:tab w:val="left" w:pos="-179"/>
                <w:tab w:val="left" w:pos="435"/>
              </w:tabs>
              <w:spacing w:after="120" w:lineRule="auto"/>
              <w:ind w:left="435"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Commercially Sensitive Information;</w:t>
            </w:r>
          </w:p>
        </w:tc>
      </w:tr>
      <w:tr>
        <w:trPr>
          <w:cantSplit w:val="0"/>
          <w:tblHeader w:val="0"/>
        </w:trPr>
        <w:tc>
          <w:tcPr/>
          <w:p w:rsidR="00000000" w:rsidDel="00000000" w:rsidP="00000000" w:rsidRDefault="00000000" w:rsidRPr="00000000" w14:paraId="000002C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CB">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CC">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2CD">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2CE">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CF">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D0">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D1">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D2">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D3">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D4">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D5">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D6">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D7">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D8">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D9">
            <w:pPr>
              <w:pBdr>
                <w:top w:space="0" w:sz="0" w:val="nil"/>
                <w:left w:space="0" w:sz="0" w:val="nil"/>
                <w:bottom w:space="0" w:sz="0" w:val="nil"/>
                <w:right w:space="0" w:sz="0" w:val="nil"/>
                <w:between w:space="0" w:sz="0" w:val="nil"/>
              </w:pBdr>
              <w:tabs>
                <w:tab w:val="left" w:pos="-179"/>
                <w:tab w:val="left" w:pos="-9"/>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w:t>
            </w:r>
            <w:hyperlink r:id="rId11">
              <w:r w:rsidDel="00000000" w:rsidR="00000000" w:rsidRPr="00000000">
                <w:rPr>
                  <w:rFonts w:ascii="Arial" w:cs="Arial" w:eastAsia="Arial" w:hAnsi="Arial"/>
                  <w:color w:val="0000ff"/>
                  <w:sz w:val="24"/>
                  <w:szCs w:val="24"/>
                  <w:u w:val="single"/>
                  <w:rtl w:val="0"/>
                </w:rPr>
                <w:t xml:space="preserve">https://www.gov.uk/government/publications/procurement-policy-note-0815-tax-arrangements-of-appointees</w:t>
              </w:r>
            </w:hyperlink>
            <w:r w:rsidDel="00000000" w:rsidR="00000000" w:rsidRPr="00000000">
              <w:rPr>
                <w:rFonts w:ascii="Arial" w:cs="Arial" w:eastAsia="Arial" w:hAnsi="Arial"/>
                <w:color w:val="000000"/>
                <w:sz w:val="24"/>
                <w:szCs w:val="24"/>
                <w:rtl w:val="0"/>
              </w:rPr>
              <w:t xml:space="preserve"> ) applies in respect of the Deliverables;</w:t>
            </w:r>
          </w:p>
        </w:tc>
      </w:tr>
      <w:tr>
        <w:trPr>
          <w:cantSplit w:val="0"/>
          <w:tblHeader w:val="0"/>
        </w:trPr>
        <w:tc>
          <w:tcPr/>
          <w:p w:rsidR="00000000" w:rsidDel="00000000" w:rsidP="00000000" w:rsidRDefault="00000000" w:rsidRPr="00000000" w14:paraId="000002DA">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 Engagement Status”</w:t>
            </w:r>
          </w:p>
        </w:tc>
        <w:tc>
          <w:tcPr/>
          <w:p w:rsidR="00000000" w:rsidDel="00000000" w:rsidP="00000000" w:rsidRDefault="00000000" w:rsidRPr="00000000" w14:paraId="000002DB">
            <w:pPr>
              <w:ind w:left="184" w:firstLine="0"/>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color w:val="000000"/>
                <w:sz w:val="24"/>
                <w:szCs w:val="24"/>
                <w:highlight w:val="white"/>
                <w:rtl w:val="0"/>
              </w:rPr>
              <w:t xml:space="preserve">details of the labour supply chain through which the Worker is engaged as Supplier Staff, for example, the Worker could be:</w:t>
            </w:r>
          </w:p>
          <w:p w:rsidR="00000000" w:rsidDel="00000000" w:rsidP="00000000" w:rsidRDefault="00000000" w:rsidRPr="00000000" w14:paraId="000002DC">
            <w:pPr>
              <w:ind w:left="184" w:firstLine="0"/>
              <w:rPr>
                <w:rFonts w:ascii="Arial" w:cs="Arial" w:eastAsia="Arial" w:hAnsi="Arial"/>
                <w:color w:val="000000"/>
                <w:sz w:val="24"/>
                <w:szCs w:val="24"/>
                <w:highlight w:val="white"/>
              </w:rPr>
            </w:pPr>
            <w:r w:rsidDel="00000000" w:rsidR="00000000" w:rsidRPr="00000000">
              <w:rPr>
                <w:rtl w:val="0"/>
              </w:rPr>
            </w:r>
          </w:p>
          <w:p w:rsidR="00000000" w:rsidDel="00000000" w:rsidP="00000000" w:rsidRDefault="00000000" w:rsidRPr="00000000" w14:paraId="000002DD">
            <w:pPr>
              <w:ind w:left="609" w:hanging="425"/>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 “employed by the Supplier the Buyer contracts with”; </w:t>
            </w:r>
          </w:p>
          <w:p w:rsidR="00000000" w:rsidDel="00000000" w:rsidP="00000000" w:rsidRDefault="00000000" w:rsidRPr="00000000" w14:paraId="000002DE">
            <w:pPr>
              <w:ind w:left="609" w:hanging="425"/>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b) “employed by another organisation within the supply chain, e.g. an agency or umbrella company”;</w:t>
            </w:r>
          </w:p>
          <w:p w:rsidR="00000000" w:rsidDel="00000000" w:rsidP="00000000" w:rsidRDefault="00000000" w:rsidRPr="00000000" w14:paraId="000002DF">
            <w:pPr>
              <w:ind w:left="609" w:hanging="425"/>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 “an off-payroll worker engaged via an intermediary e.g. the worker’s own personal service company”; or</w:t>
            </w:r>
          </w:p>
          <w:p w:rsidR="00000000" w:rsidDel="00000000" w:rsidP="00000000" w:rsidRDefault="00000000" w:rsidRPr="00000000" w14:paraId="000002E0">
            <w:pPr>
              <w:pBdr>
                <w:top w:space="0" w:sz="0" w:val="nil"/>
                <w:left w:space="0" w:sz="0" w:val="nil"/>
                <w:bottom w:space="0" w:sz="0" w:val="nil"/>
                <w:right w:space="0" w:sz="0" w:val="nil"/>
                <w:between w:space="0" w:sz="0" w:val="nil"/>
              </w:pBdr>
              <w:tabs>
                <w:tab w:val="left" w:pos="-179"/>
                <w:tab w:val="left" w:pos="282"/>
              </w:tabs>
              <w:spacing w:after="120" w:lineRule="auto"/>
              <w:ind w:left="14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white"/>
                <w:rtl w:val="0"/>
              </w:rPr>
              <w:t xml:space="preserve">d) “an independent sole trader”;</w:t>
            </w:r>
            <w:r w:rsidDel="00000000" w:rsidR="00000000" w:rsidRPr="00000000">
              <w:rPr>
                <w:rtl w:val="0"/>
              </w:rPr>
            </w:r>
          </w:p>
        </w:tc>
      </w:tr>
      <w:tr>
        <w:trPr>
          <w:cantSplit w:val="0"/>
          <w:tblHeader w:val="0"/>
        </w:trPr>
        <w:tc>
          <w:tcPr/>
          <w:p w:rsidR="00000000" w:rsidDel="00000000" w:rsidP="00000000" w:rsidRDefault="00000000" w:rsidRPr="00000000" w14:paraId="000002E1">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E2">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E3">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E4">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minimum of 8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E5">
            <w:pPr>
              <w:pBdr>
                <w:top w:space="0" w:sz="0" w:val="nil"/>
                <w:left w:space="0" w:sz="0" w:val="nil"/>
                <w:bottom w:space="0" w:sz="0" w:val="nil"/>
                <w:right w:space="0" w:sz="0" w:val="nil"/>
                <w:between w:space="0" w:sz="0" w:val="nil"/>
              </w:pBdr>
              <w:spacing w:after="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E6">
            <w:pPr>
              <w:pBdr>
                <w:top w:space="0" w:sz="0" w:val="nil"/>
                <w:left w:space="0" w:sz="0" w:val="nil"/>
                <w:bottom w:space="0" w:sz="0" w:val="nil"/>
                <w:right w:space="0" w:sz="0" w:val="nil"/>
                <w:between w:space="0" w:sz="0" w:val="nil"/>
              </w:pBdr>
              <w:tabs>
                <w:tab w:val="left" w:pos="-179"/>
                <w:tab w:val="left" w:pos="-9"/>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E7">
      <w:pPr>
        <w:spacing w:after="0" w:line="240" w:lineRule="auto"/>
        <w:rPr>
          <w:rFonts w:ascii="Arial" w:cs="Arial" w:eastAsia="Arial" w:hAnsi="Arial"/>
          <w:sz w:val="24"/>
          <w:szCs w:val="24"/>
        </w:rPr>
      </w:pPr>
      <w:bookmarkStart w:colFirst="0" w:colLast="0" w:name="_heading=h.gjdgxs" w:id="4"/>
      <w:bookmarkEnd w:id="4"/>
      <w:r w:rsidDel="00000000" w:rsidR="00000000" w:rsidRPr="00000000">
        <w:rPr>
          <w:rtl w:val="0"/>
        </w:rPr>
      </w:r>
    </w:p>
    <w:sectPr>
      <w:headerReference r:id="rId12" w:type="default"/>
      <w:headerReference r:id="rId13" w:type="first"/>
      <w:footerReference r:id="rId14" w:type="default"/>
      <w:footerReference r:id="rId15" w:type="first"/>
      <w:pgSz w:h="16838" w:w="11906" w:orient="portrait"/>
      <w:pgMar w:bottom="1440" w:top="1440" w:left="1440" w:right="125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ED">
    <w:pPr>
      <w:tabs>
        <w:tab w:val="center" w:pos="4513"/>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E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E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F0">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RM6240 Public Sector Legal Services</w:t>
      <w:tab/>
      <w:t xml:space="preserve">                                           </w:t>
    </w:r>
  </w:p>
  <w:p w:rsidR="00000000" w:rsidDel="00000000" w:rsidP="00000000" w:rsidRDefault="00000000" w:rsidRPr="00000000" w14:paraId="000002F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v3.10</w:t>
      <w:tab/>
    </w:r>
    <w:r w:rsidDel="00000000" w:rsidR="00000000" w:rsidRPr="00000000">
      <w:rPr>
        <w:rFonts w:ascii="Arial" w:cs="Arial" w:eastAsia="Arial" w:hAnsi="Arial"/>
        <w:color w:val="bfbfbf"/>
        <w:sz w:val="20"/>
        <w:szCs w:val="20"/>
        <w:rtl w:val="0"/>
      </w:rPr>
      <w:tab/>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E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E9">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E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EB">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p>
  <w:p w:rsidR="00000000" w:rsidDel="00000000" w:rsidP="00000000" w:rsidRDefault="00000000" w:rsidRPr="00000000" w14:paraId="000002EC">
    <w:pPr>
      <w:pBdr>
        <w:top w:space="0" w:sz="0" w:val="nil"/>
        <w:left w:space="0" w:sz="0" w:val="nil"/>
        <w:bottom w:space="0" w:sz="0" w:val="nil"/>
        <w:right w:space="0" w:sz="0" w:val="nil"/>
        <w:between w:space="0" w:sz="0" w:val="nil"/>
      </w:pBdr>
      <w:tabs>
        <w:tab w:val="center" w:pos="4513"/>
        <w:tab w:val="right" w:pos="9026"/>
        <w:tab w:val="left" w:pos="3800"/>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ab/>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lowerLetter"/>
      <w:lvlText w:val="%1)"/>
      <w:lvlJc w:val="left"/>
      <w:pPr>
        <w:ind w:left="1647" w:hanging="360"/>
      </w:pPr>
      <w:rPr/>
    </w:lvl>
    <w:lvl w:ilvl="1">
      <w:start w:val="1"/>
      <w:numFmt w:val="lowerLetter"/>
      <w:lvlText w:val="%2."/>
      <w:lvlJc w:val="left"/>
      <w:pPr>
        <w:ind w:left="2367" w:hanging="360"/>
      </w:pPr>
      <w:rPr/>
    </w:lvl>
    <w:lvl w:ilvl="2">
      <w:start w:val="1"/>
      <w:numFmt w:val="lowerRoman"/>
      <w:lvlText w:val="%3."/>
      <w:lvlJc w:val="right"/>
      <w:pPr>
        <w:ind w:left="3087" w:hanging="180"/>
      </w:pPr>
      <w:rPr/>
    </w:lvl>
    <w:lvl w:ilvl="3">
      <w:start w:val="1"/>
      <w:numFmt w:val="decimal"/>
      <w:lvlText w:val="%4."/>
      <w:lvlJc w:val="left"/>
      <w:pPr>
        <w:ind w:left="3807" w:hanging="360"/>
      </w:pPr>
      <w:rPr/>
    </w:lvl>
    <w:lvl w:ilvl="4">
      <w:start w:val="1"/>
      <w:numFmt w:val="lowerLetter"/>
      <w:lvlText w:val="%5."/>
      <w:lvlJc w:val="left"/>
      <w:pPr>
        <w:ind w:left="4527" w:hanging="360"/>
      </w:pPr>
      <w:rPr/>
    </w:lvl>
    <w:lvl w:ilvl="5">
      <w:start w:val="1"/>
      <w:numFmt w:val="lowerRoman"/>
      <w:lvlText w:val="%6."/>
      <w:lvlJc w:val="right"/>
      <w:pPr>
        <w:ind w:left="5247" w:hanging="180"/>
      </w:pPr>
      <w:rPr/>
    </w:lvl>
    <w:lvl w:ilvl="6">
      <w:start w:val="1"/>
      <w:numFmt w:val="decimal"/>
      <w:lvlText w:val="%7."/>
      <w:lvlJc w:val="left"/>
      <w:pPr>
        <w:ind w:left="5967" w:hanging="360"/>
      </w:pPr>
      <w:rPr/>
    </w:lvl>
    <w:lvl w:ilvl="7">
      <w:start w:val="1"/>
      <w:numFmt w:val="lowerLetter"/>
      <w:lvlText w:val="%8."/>
      <w:lvlJc w:val="left"/>
      <w:pPr>
        <w:ind w:left="6687" w:hanging="360"/>
      </w:pPr>
      <w:rPr/>
    </w:lvl>
    <w:lvl w:ilvl="8">
      <w:start w:val="1"/>
      <w:numFmt w:val="lowerRoman"/>
      <w:lvlText w:val="%9."/>
      <w:lvlJc w:val="right"/>
      <w:pPr>
        <w:ind w:left="7407" w:hanging="180"/>
      </w:pPr>
      <w:rPr/>
    </w:lvl>
  </w:abstractNum>
  <w:abstractNum w:abstractNumId="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Letter"/>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lowerRoman"/>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Letter"/>
      <w:lvlText w:val="%3)"/>
      <w:lvlJc w:val="left"/>
      <w:pPr>
        <w:ind w:left="1080" w:hanging="360"/>
      </w:pPr>
      <w:rPr>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lowerLetter"/>
      <w:lvlText w:val="%1)"/>
      <w:lvlJc w:val="left"/>
      <w:pPr>
        <w:ind w:left="890" w:hanging="360"/>
      </w:pPr>
      <w:rPr>
        <w:rFonts w:ascii="Arial" w:cs="Arial" w:eastAsia="Arial" w:hAnsi="Arial"/>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decimal"/>
      <w:lvlText w:val="%1."/>
      <w:lvlJc w:val="left"/>
      <w:pPr>
        <w:ind w:left="644" w:hanging="357"/>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4">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val="1"/>
    <w:unhideWhenUsed w:val="1"/>
    <w:qFormat w:val="1"/>
    <w:rsid w:val="004E36B0"/>
    <w:pPr>
      <w:widowControl w:val="0"/>
      <w:tabs>
        <w:tab w:val="num" w:pos="709"/>
      </w:tabs>
      <w:spacing w:after="220" w:line="240" w:lineRule="auto"/>
      <w:ind w:left="709" w:hanging="709"/>
      <w:jc w:val="both"/>
      <w:outlineLvl w:val="1"/>
    </w:pPr>
    <w:rPr>
      <w:rFonts w:ascii="Trebuchet MS" w:cs="Arial" w:eastAsia="Times New Roman" w:hAnsi="Trebuchet MS"/>
      <w:bCs w:val="1"/>
      <w:iCs w:val="1"/>
      <w:sz w:val="20"/>
      <w:szCs w:val="28"/>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style>
  <w:style w:type="table" w:styleId="a0" w:customStyle="1">
    <w:basedOn w:val="TableNormal"/>
    <w:tblPr>
      <w:tblStyleRowBandSize w:val="1"/>
      <w:tblStyleColBandSize w:val="1"/>
      <w:tblCellMar>
        <w:left w:w="0.0" w:type="dxa"/>
        <w:right w:w="0.0" w:type="dxa"/>
      </w:tblCellMar>
    </w:tblPr>
  </w:style>
  <w:style w:type="table" w:styleId="a1" w:customStyle="1">
    <w:basedOn w:val="TableNormal"/>
    <w:pPr>
      <w:spacing w:after="0" w:line="240" w:lineRule="auto"/>
    </w:pPr>
    <w:rPr>
      <w:sz w:val="20"/>
      <w:szCs w:val="20"/>
    </w:rPr>
    <w:tblPr>
      <w:tblStyleRowBandSize w:val="1"/>
      <w:tblStyleColBandSize w:val="1"/>
    </w:tblPr>
  </w:style>
  <w:style w:type="table" w:styleId="a2"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3"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4"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5"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6"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7"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8"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9"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a"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b"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c" w:customStyle="1">
    <w:basedOn w:val="TableNormal"/>
    <w:pPr>
      <w:spacing w:after="0" w:line="240" w:lineRule="auto"/>
    </w:pPr>
    <w:rPr>
      <w:sz w:val="20"/>
      <w:szCs w:val="20"/>
    </w:rPr>
    <w:tblPr>
      <w:tblStyleRowBandSize w:val="1"/>
      <w:tblStyleColBandSize w:val="1"/>
      <w:tblCellMar>
        <w:left w:w="0.0" w:type="dxa"/>
        <w:right w:w="0.0" w:type="dxa"/>
      </w:tblCellMar>
    </w:tblPr>
  </w:style>
  <w:style w:type="table" w:styleId="ad" w:customStyle="1">
    <w:basedOn w:val="TableNormal"/>
    <w:pPr>
      <w:spacing w:after="0" w:line="240" w:lineRule="auto"/>
    </w:pPr>
    <w:rPr>
      <w:sz w:val="20"/>
      <w:szCs w:val="20"/>
    </w:rPr>
    <w:tblPr>
      <w:tblStyleRowBandSize w:val="1"/>
      <w:tblStyleColBandSize w:val="1"/>
      <w:tblCellMar>
        <w:left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2">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gov.uk/government/publications/procurement-policy-note-0815-tax-arrangements-of-appointees" TargetMode="External"/><Relationship Id="rId10" Type="http://schemas.openxmlformats.org/officeDocument/2006/relationships/hyperlink" Target="https://www.gov.uk/government/publications/blowing-the-whistle-list-of-prescribed-people-and-bodies--2/whistleblowing-list-of-prescribed-people-and-bodies" TargetMode="External"/><Relationship Id="rId13" Type="http://schemas.openxmlformats.org/officeDocument/2006/relationships/header" Target="head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uidance/ir35-find-out-if-it-applies" TargetMode="External"/><Relationship Id="rId15" Type="http://schemas.openxmlformats.org/officeDocument/2006/relationships/footer" Target="footer1.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crowncommercial.gov.uk" TargetMode="External"/><Relationship Id="rId8" Type="http://schemas.openxmlformats.org/officeDocument/2006/relationships/hyperlink" Target="https://crowncommercialservice.bravosolution.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RCrsfhH2dlwrB5gstfp+G+B4yeg==">AMUW2mXBP8YuEoswnnEc0+ktElV5c42rVyA+aPzrcJhkbNJncSWcUlIijJMCCVwyYObISHKqktndAw75nUeaLhruPoxqBAZGvkZYqoJOCzI/GWx5wPZkKtwd8X1ItQ/S4F3FrEgnFbKdeiavXF68Adsu5XB/9zV1uBMwKz5Ms5No1VU0WTBmeoF/CohYNW8VdhlNLoLJlGoj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2022-02-24T12:56:00Z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